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E903" w14:textId="52E4087D" w:rsidR="004A3199" w:rsidRDefault="004A3199" w:rsidP="00C03275">
      <w:pPr>
        <w:pStyle w:val="Heading1"/>
      </w:pPr>
      <w:r>
        <w:rPr>
          <w:noProof/>
        </w:rPr>
        <w:drawing>
          <wp:anchor distT="0" distB="0" distL="114300" distR="114300" simplePos="0" relativeHeight="251658240" behindDoc="1" locked="0" layoutInCell="1" allowOverlap="1" wp14:anchorId="096D9D59" wp14:editId="486CF891">
            <wp:simplePos x="0" y="0"/>
            <wp:positionH relativeFrom="margin">
              <wp:align>center</wp:align>
            </wp:positionH>
            <wp:positionV relativeFrom="paragraph">
              <wp:posOffset>-394335</wp:posOffset>
            </wp:positionV>
            <wp:extent cx="3191256" cy="1133856"/>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256" cy="1133856"/>
                    </a:xfrm>
                    <a:prstGeom prst="rect">
                      <a:avLst/>
                    </a:prstGeom>
                  </pic:spPr>
                </pic:pic>
              </a:graphicData>
            </a:graphic>
            <wp14:sizeRelH relativeFrom="margin">
              <wp14:pctWidth>0</wp14:pctWidth>
            </wp14:sizeRelH>
            <wp14:sizeRelV relativeFrom="margin">
              <wp14:pctHeight>0</wp14:pctHeight>
            </wp14:sizeRelV>
          </wp:anchor>
        </w:drawing>
      </w:r>
    </w:p>
    <w:p w14:paraId="0FAACEE1" w14:textId="77777777" w:rsidR="004A3199" w:rsidRDefault="004A3199" w:rsidP="004A3199"/>
    <w:p w14:paraId="775094CC" w14:textId="5EBF3AE2" w:rsidR="004A3199" w:rsidRPr="00490C69" w:rsidRDefault="002F480B" w:rsidP="00F673D1">
      <w:pPr>
        <w:pStyle w:val="Heading1"/>
        <w:rPr>
          <w:color w:val="9D0441" w:themeColor="accent4"/>
        </w:rPr>
      </w:pPr>
      <w:r>
        <w:rPr>
          <w:color w:val="9D0441" w:themeColor="accent4"/>
        </w:rPr>
        <w:t>Tax Priorities in the 119</w:t>
      </w:r>
      <w:r w:rsidRPr="002F480B">
        <w:rPr>
          <w:color w:val="9D0441" w:themeColor="accent4"/>
          <w:vertAlign w:val="superscript"/>
        </w:rPr>
        <w:t>th</w:t>
      </w:r>
      <w:r>
        <w:rPr>
          <w:color w:val="9D0441" w:themeColor="accent4"/>
        </w:rPr>
        <w:t xml:space="preserve"> Congress</w:t>
      </w:r>
      <w:r w:rsidR="00542840">
        <w:rPr>
          <w:color w:val="9D0441" w:themeColor="accent4"/>
        </w:rPr>
        <w:t xml:space="preserve"> </w:t>
      </w:r>
    </w:p>
    <w:p w14:paraId="29F03447" w14:textId="5A453EBC" w:rsidR="001D173B" w:rsidRDefault="001F4436" w:rsidP="5D2A76C8">
      <w:pPr>
        <w:pStyle w:val="Heading2"/>
        <w:rPr>
          <w:rFonts w:eastAsiaTheme="minorEastAsia"/>
          <w:color w:val="00548A" w:themeColor="accent1"/>
        </w:rPr>
      </w:pPr>
      <w:r>
        <w:rPr>
          <w:rFonts w:eastAsiaTheme="minorEastAsia"/>
          <w:color w:val="00548A" w:themeColor="accent1"/>
        </w:rPr>
        <w:t>Tax-Exempt Status of Municip</w:t>
      </w:r>
      <w:r w:rsidR="00AE2584">
        <w:rPr>
          <w:rFonts w:eastAsiaTheme="minorEastAsia"/>
          <w:color w:val="00548A" w:themeColor="accent1"/>
        </w:rPr>
        <w:t>al Bonds</w:t>
      </w:r>
    </w:p>
    <w:p w14:paraId="30E48F10" w14:textId="3570E950" w:rsidR="001D173B" w:rsidRDefault="60B981BA" w:rsidP="5D2A76C8">
      <w:pPr>
        <w:pStyle w:val="Heading3"/>
        <w:rPr>
          <w:rFonts w:cs="Calibri"/>
          <w:color w:val="000000"/>
          <w:sz w:val="24"/>
          <w:szCs w:val="24"/>
        </w:rPr>
      </w:pPr>
      <w:r>
        <w:t xml:space="preserve">NATaT </w:t>
      </w:r>
      <w:r w:rsidR="00AE2584">
        <w:t xml:space="preserve">supports maintaining the tax-exempt status of municipal bonds as a critical tool </w:t>
      </w:r>
      <w:r w:rsidR="2839AB27">
        <w:t xml:space="preserve">for </w:t>
      </w:r>
      <w:r w:rsidR="00AE2584">
        <w:t xml:space="preserve">generating investments in vital public infrastructure for localities, saving state and </w:t>
      </w:r>
      <w:r w:rsidR="00AD4236">
        <w:t xml:space="preserve">local governments hundreds of billions of dollars in interest costs over the last century. </w:t>
      </w:r>
    </w:p>
    <w:p w14:paraId="322DEB69" w14:textId="4D63BBFA" w:rsidR="00DC0053" w:rsidRPr="00DC0053" w:rsidRDefault="00DC0053" w:rsidP="00DC0053">
      <w:pPr>
        <w:rPr>
          <w:color w:val="auto"/>
          <w:sz w:val="24"/>
          <w:szCs w:val="32"/>
        </w:rPr>
      </w:pPr>
      <w:r w:rsidRPr="00DC0053">
        <w:rPr>
          <w:color w:val="auto"/>
          <w:sz w:val="24"/>
          <w:szCs w:val="32"/>
        </w:rPr>
        <w:t>Nearly three-quarters of the country’s core infrastructure investment has been financed by state and local government bonds. Since the creation of the federal income tax in 1913, interest on government-purpose municipal bonds has been exempt from federal income tax, just as federal bonds are exempt from state and local taxes.</w:t>
      </w:r>
      <w:r w:rsidR="000E5702" w:rsidRPr="000E5702">
        <w:rPr>
          <w:color w:val="auto"/>
          <w:sz w:val="24"/>
          <w:szCs w:val="32"/>
        </w:rPr>
        <w:t xml:space="preserve"> </w:t>
      </w:r>
      <w:r w:rsidR="000E5702" w:rsidRPr="00DC0053">
        <w:rPr>
          <w:color w:val="auto"/>
          <w:sz w:val="24"/>
          <w:szCs w:val="32"/>
        </w:rPr>
        <w:t xml:space="preserve">There is currently nearly $3.3 trillion in outstanding municipal bonds. </w:t>
      </w:r>
      <w:r w:rsidRPr="00DC0053">
        <w:rPr>
          <w:color w:val="auto"/>
          <w:sz w:val="24"/>
          <w:szCs w:val="32"/>
        </w:rPr>
        <w:t xml:space="preserve">The federal government has taken steps to regulate municipal bonds, including taxing the interest on bonds determined to be for “private,” not governmental use, and to limit the ability to use tax-exempt debt to refinance existing debt (see advance refunding below). </w:t>
      </w:r>
    </w:p>
    <w:p w14:paraId="26ACEEFE" w14:textId="1DB1D15E" w:rsidR="00DC0053" w:rsidRPr="00DC0053" w:rsidRDefault="00DC0053" w:rsidP="00DC0053">
      <w:pPr>
        <w:rPr>
          <w:color w:val="auto"/>
          <w:sz w:val="24"/>
        </w:rPr>
      </w:pPr>
      <w:r w:rsidRPr="45BD50B2">
        <w:rPr>
          <w:color w:val="auto"/>
          <w:sz w:val="24"/>
        </w:rPr>
        <w:t xml:space="preserve">Municipal bonds are popular with investors because the interest is exempt from federal income tax. These savings are used to make further investments or are passed on to residents in the form of lower rates. Investors also value municipal bonds for their ability to generate a steady stream of revenue for fixed-income households. Individual households own roughly 70 percent of municipal bonds either directly or through bond funds. And, for more than 60 percent of these households, tax-exempt interest is earned by taxpayers over 65 years old. Municipal bonds are also a safe option. This market is well-established with a robust and comprehensive federal legislative and regulatory </w:t>
      </w:r>
      <w:r w:rsidR="608E9116" w:rsidRPr="45BD50B2">
        <w:rPr>
          <w:color w:val="auto"/>
          <w:sz w:val="24"/>
        </w:rPr>
        <w:t xml:space="preserve">oversight </w:t>
      </w:r>
      <w:r w:rsidRPr="45BD50B2">
        <w:rPr>
          <w:color w:val="auto"/>
          <w:sz w:val="24"/>
        </w:rPr>
        <w:t xml:space="preserve">system, and the default rate is significantly lower than other bonds. </w:t>
      </w:r>
    </w:p>
    <w:p w14:paraId="289345F3" w14:textId="77777777" w:rsidR="00681411" w:rsidRPr="008B4D80" w:rsidRDefault="00DC0053" w:rsidP="00681411">
      <w:pPr>
        <w:rPr>
          <w:color w:val="auto"/>
          <w:sz w:val="24"/>
          <w:szCs w:val="32"/>
        </w:rPr>
      </w:pPr>
      <w:r w:rsidRPr="00DC0053">
        <w:rPr>
          <w:color w:val="auto"/>
          <w:sz w:val="24"/>
          <w:szCs w:val="32"/>
        </w:rPr>
        <w:t xml:space="preserve">Prior to the enactment of the </w:t>
      </w:r>
      <w:r w:rsidRPr="00872DC9">
        <w:rPr>
          <w:i/>
          <w:iCs/>
          <w:color w:val="auto"/>
          <w:sz w:val="24"/>
          <w:szCs w:val="32"/>
        </w:rPr>
        <w:t xml:space="preserve">Tax Cuts and Jobs Act </w:t>
      </w:r>
      <w:r w:rsidRPr="00DC0053">
        <w:rPr>
          <w:color w:val="auto"/>
          <w:sz w:val="24"/>
          <w:szCs w:val="32"/>
        </w:rPr>
        <w:t xml:space="preserve">of 2017, states and localities could issue tax-exempt advance refunding bonds. Such bonds were used to refund debt to lock in rates or restructure debt prior to a bond’s typical 10-year call date. As a result of the </w:t>
      </w:r>
      <w:r w:rsidRPr="00872DC9">
        <w:rPr>
          <w:i/>
          <w:iCs/>
          <w:color w:val="auto"/>
          <w:sz w:val="24"/>
          <w:szCs w:val="32"/>
        </w:rPr>
        <w:t>Tax Cuts and Jobs Act</w:t>
      </w:r>
      <w:r w:rsidRPr="00DC0053">
        <w:rPr>
          <w:color w:val="auto"/>
          <w:sz w:val="24"/>
          <w:szCs w:val="32"/>
        </w:rPr>
        <w:t>, issuers now must either wait for a bond’s call date to refund it or issue an advance refunding bond as taxable debt – no longer tax exempt; combined this can mean higher costs and less flexibility.</w:t>
      </w:r>
      <w:r w:rsidR="00681411">
        <w:rPr>
          <w:color w:val="auto"/>
          <w:sz w:val="24"/>
          <w:szCs w:val="32"/>
        </w:rPr>
        <w:t xml:space="preserve"> </w:t>
      </w:r>
      <w:r w:rsidR="00681411" w:rsidRPr="008B4D80">
        <w:rPr>
          <w:color w:val="auto"/>
          <w:sz w:val="24"/>
          <w:szCs w:val="32"/>
        </w:rPr>
        <w:t xml:space="preserve">NATaT supports preserving tax-exempt municipal bonds </w:t>
      </w:r>
      <w:r w:rsidR="00681411">
        <w:rPr>
          <w:color w:val="auto"/>
          <w:sz w:val="24"/>
          <w:szCs w:val="32"/>
        </w:rPr>
        <w:t xml:space="preserve">and </w:t>
      </w:r>
      <w:r w:rsidR="00681411" w:rsidRPr="008B4D80">
        <w:rPr>
          <w:color w:val="auto"/>
          <w:sz w:val="24"/>
          <w:szCs w:val="32"/>
        </w:rPr>
        <w:t xml:space="preserve">reinstating </w:t>
      </w:r>
      <w:r w:rsidR="00681411">
        <w:rPr>
          <w:color w:val="auto"/>
          <w:sz w:val="24"/>
          <w:szCs w:val="32"/>
        </w:rPr>
        <w:t xml:space="preserve">tax-exempt </w:t>
      </w:r>
      <w:r w:rsidR="00681411" w:rsidRPr="008B4D80">
        <w:rPr>
          <w:color w:val="auto"/>
          <w:sz w:val="24"/>
          <w:szCs w:val="32"/>
        </w:rPr>
        <w:t xml:space="preserve">advanced refunding </w:t>
      </w:r>
      <w:r w:rsidR="00681411">
        <w:rPr>
          <w:color w:val="auto"/>
          <w:sz w:val="24"/>
          <w:szCs w:val="32"/>
        </w:rPr>
        <w:t xml:space="preserve">bonds. </w:t>
      </w:r>
      <w:r w:rsidR="00681411" w:rsidRPr="008B4D80">
        <w:rPr>
          <w:color w:val="auto"/>
          <w:sz w:val="24"/>
          <w:szCs w:val="32"/>
        </w:rPr>
        <w:t xml:space="preserve"> </w:t>
      </w:r>
    </w:p>
    <w:p w14:paraId="0E4498B1" w14:textId="34EF38CB" w:rsidR="00DC0053" w:rsidRDefault="00DC0053" w:rsidP="00DC0053">
      <w:pPr>
        <w:rPr>
          <w:color w:val="auto"/>
          <w:sz w:val="24"/>
          <w:szCs w:val="32"/>
        </w:rPr>
      </w:pPr>
    </w:p>
    <w:p w14:paraId="091F260C" w14:textId="77777777" w:rsidR="00DC0053" w:rsidRDefault="00DC0053" w:rsidP="008B4D80">
      <w:pPr>
        <w:rPr>
          <w:color w:val="auto"/>
          <w:sz w:val="24"/>
          <w:szCs w:val="32"/>
        </w:rPr>
      </w:pPr>
    </w:p>
    <w:p w14:paraId="1BADBB4F" w14:textId="77777777" w:rsidR="00DC0053" w:rsidRDefault="00DC0053" w:rsidP="008B4D80">
      <w:pPr>
        <w:rPr>
          <w:color w:val="auto"/>
          <w:sz w:val="24"/>
          <w:szCs w:val="32"/>
        </w:rPr>
      </w:pPr>
    </w:p>
    <w:p w14:paraId="642F7C10" w14:textId="77777777" w:rsidR="005F30B7" w:rsidRDefault="005F30B7" w:rsidP="005F30B7">
      <w:pPr>
        <w:pStyle w:val="Heading2"/>
        <w:rPr>
          <w:rFonts w:eastAsiaTheme="minorEastAsia"/>
          <w:color w:val="00548A" w:themeColor="accent1"/>
        </w:rPr>
      </w:pPr>
      <w:r>
        <w:rPr>
          <w:rFonts w:eastAsiaTheme="minorEastAsia"/>
          <w:color w:val="00548A" w:themeColor="accent1"/>
        </w:rPr>
        <w:lastRenderedPageBreak/>
        <w:t>Tax-Exempt Status of 501(c) Organizations</w:t>
      </w:r>
    </w:p>
    <w:p w14:paraId="0CB75A6A" w14:textId="77777777" w:rsidR="005F30B7" w:rsidRDefault="005F30B7" w:rsidP="005F30B7">
      <w:pPr>
        <w:pStyle w:val="Heading3"/>
      </w:pPr>
      <w:r>
        <w:t>NATaT supports maintaining the tax-exempt status of 501(c) organizations.</w:t>
      </w:r>
    </w:p>
    <w:p w14:paraId="71145DDC" w14:textId="236862DF" w:rsidR="005F30B7" w:rsidRPr="006711C6" w:rsidRDefault="005F30B7" w:rsidP="45BD50B2">
      <w:pPr>
        <w:rPr>
          <w:color w:val="auto"/>
          <w:sz w:val="24"/>
        </w:rPr>
      </w:pPr>
      <w:r w:rsidRPr="45BD50B2">
        <w:rPr>
          <w:color w:val="auto"/>
          <w:sz w:val="24"/>
        </w:rPr>
        <w:t xml:space="preserve">NATaT and the state associations we represent </w:t>
      </w:r>
      <w:r w:rsidR="49A03944" w:rsidRPr="45BD50B2">
        <w:rPr>
          <w:color w:val="auto"/>
          <w:sz w:val="24"/>
        </w:rPr>
        <w:t>are</w:t>
      </w:r>
      <w:r w:rsidRPr="45BD50B2">
        <w:rPr>
          <w:color w:val="auto"/>
          <w:sz w:val="24"/>
        </w:rPr>
        <w:t xml:space="preserve"> concerned about the threat of across-the-board taxes on associations and other nonprofits. </w:t>
      </w:r>
      <w:r w:rsidR="00653C24" w:rsidRPr="45BD50B2">
        <w:rPr>
          <w:color w:val="auto"/>
          <w:sz w:val="24"/>
        </w:rPr>
        <w:t xml:space="preserve">More specifically, </w:t>
      </w:r>
      <w:r w:rsidRPr="45BD50B2">
        <w:rPr>
          <w:color w:val="auto"/>
          <w:sz w:val="24"/>
        </w:rPr>
        <w:t>there are serious concerns that Congress will tax the association community at the corporate rate</w:t>
      </w:r>
      <w:r w:rsidR="00835E3A" w:rsidRPr="45BD50B2">
        <w:rPr>
          <w:color w:val="auto"/>
          <w:sz w:val="24"/>
        </w:rPr>
        <w:t xml:space="preserve">, which is </w:t>
      </w:r>
      <w:r w:rsidRPr="45BD50B2">
        <w:rPr>
          <w:color w:val="auto"/>
          <w:sz w:val="24"/>
        </w:rPr>
        <w:t xml:space="preserve">an unprecedented threat to the way the tax code views the </w:t>
      </w:r>
      <w:r w:rsidR="00F220B3" w:rsidRPr="45BD50B2">
        <w:rPr>
          <w:color w:val="auto"/>
          <w:sz w:val="24"/>
        </w:rPr>
        <w:t xml:space="preserve">nonprofit and </w:t>
      </w:r>
      <w:r w:rsidR="00462F06" w:rsidRPr="45BD50B2">
        <w:rPr>
          <w:color w:val="auto"/>
          <w:sz w:val="24"/>
        </w:rPr>
        <w:t>association</w:t>
      </w:r>
      <w:r w:rsidR="00F220B3" w:rsidRPr="45BD50B2">
        <w:rPr>
          <w:color w:val="auto"/>
          <w:sz w:val="24"/>
        </w:rPr>
        <w:t xml:space="preserve"> c</w:t>
      </w:r>
      <w:r w:rsidRPr="45BD50B2">
        <w:rPr>
          <w:color w:val="auto"/>
          <w:sz w:val="24"/>
        </w:rPr>
        <w:t>ommunity.</w:t>
      </w:r>
    </w:p>
    <w:p w14:paraId="3561BA75" w14:textId="33F11456" w:rsidR="005F30B7" w:rsidRDefault="005F30B7" w:rsidP="005F30B7">
      <w:pPr>
        <w:rPr>
          <w:color w:val="auto"/>
          <w:sz w:val="24"/>
        </w:rPr>
      </w:pPr>
      <w:r w:rsidRPr="006711C6">
        <w:rPr>
          <w:color w:val="auto"/>
          <w:sz w:val="24"/>
        </w:rPr>
        <w:t>The</w:t>
      </w:r>
      <w:r w:rsidR="00835E3A">
        <w:rPr>
          <w:color w:val="auto"/>
          <w:sz w:val="24"/>
        </w:rPr>
        <w:t xml:space="preserve">re is a </w:t>
      </w:r>
      <w:r w:rsidRPr="006711C6">
        <w:rPr>
          <w:color w:val="auto"/>
          <w:sz w:val="24"/>
        </w:rPr>
        <w:t xml:space="preserve">proposal </w:t>
      </w:r>
      <w:r w:rsidR="00835E3A">
        <w:rPr>
          <w:color w:val="auto"/>
          <w:sz w:val="24"/>
        </w:rPr>
        <w:t xml:space="preserve">that </w:t>
      </w:r>
      <w:r w:rsidRPr="006711C6">
        <w:rPr>
          <w:color w:val="auto"/>
          <w:sz w:val="24"/>
        </w:rPr>
        <w:t xml:space="preserve">would tax the net of all non-donation revenue streams of tax-exempt organizations, including membership dues, sponsorships, investment income, and educational program revenue. This </w:t>
      </w:r>
      <w:r>
        <w:rPr>
          <w:color w:val="auto"/>
          <w:sz w:val="24"/>
        </w:rPr>
        <w:t>demonstrates</w:t>
      </w:r>
      <w:r w:rsidRPr="006711C6">
        <w:rPr>
          <w:color w:val="auto"/>
          <w:sz w:val="24"/>
        </w:rPr>
        <w:t xml:space="preserve"> a fundamental lack of understanding of the association community, the good that we do, and the constraints we operate under to maintain our tax-exempt status.</w:t>
      </w:r>
    </w:p>
    <w:p w14:paraId="013AE5F6" w14:textId="40AB1D13" w:rsidR="005F30B7" w:rsidRDefault="005F30B7" w:rsidP="005F30B7">
      <w:pPr>
        <w:rPr>
          <w:color w:val="auto"/>
          <w:sz w:val="24"/>
        </w:rPr>
      </w:pPr>
      <w:r w:rsidRPr="00475492">
        <w:rPr>
          <w:color w:val="auto"/>
          <w:sz w:val="24"/>
        </w:rPr>
        <w:t>Congress first exempted associations from most taxes largely in recognition of their public benefits. The I</w:t>
      </w:r>
      <w:r w:rsidR="003C7E28">
        <w:rPr>
          <w:color w:val="auto"/>
          <w:sz w:val="24"/>
        </w:rPr>
        <w:t>RS</w:t>
      </w:r>
      <w:r w:rsidRPr="00475492">
        <w:rPr>
          <w:color w:val="auto"/>
          <w:sz w:val="24"/>
        </w:rPr>
        <w:t xml:space="preserve"> broadly defines associations as “a group of people banded together for a specific purpose.” Associations earn their tax-exempt status because they exist to serve the public good rather than to benefit private individuals or generate profit. </w:t>
      </w:r>
      <w:r w:rsidR="00D557C7" w:rsidRPr="00D557C7">
        <w:rPr>
          <w:color w:val="auto"/>
          <w:sz w:val="24"/>
        </w:rPr>
        <w:t>This tax-exempt status allows associations, like ours, to focus on their unique and important missions without the constraint of profit maximization, ensuring that they can continue to serve their members and broader communities effectively. Any change to the tax-exempt status of nonprofit associations would be woefully disruptive to the critical work NATaT and our member state organizations are doing on behalf of towns and townships across the country.</w:t>
      </w:r>
      <w:r>
        <w:rPr>
          <w:color w:val="auto"/>
          <w:sz w:val="24"/>
        </w:rPr>
        <w:t xml:space="preserve"> NATaT supports maintaining the tax-exempt status of associations and other 501(c) organizations. </w:t>
      </w:r>
    </w:p>
    <w:p w14:paraId="74868E20" w14:textId="16760ABB" w:rsidR="00151E3F" w:rsidRDefault="00151E3F" w:rsidP="00151E3F">
      <w:pPr>
        <w:pStyle w:val="Heading2"/>
        <w:rPr>
          <w:rFonts w:eastAsiaTheme="minorEastAsia"/>
          <w:color w:val="00548A" w:themeColor="accent1"/>
        </w:rPr>
      </w:pPr>
      <w:r>
        <w:rPr>
          <w:rFonts w:eastAsiaTheme="minorEastAsia"/>
          <w:color w:val="00548A" w:themeColor="accent1"/>
        </w:rPr>
        <w:t>State and Local Tax Deductions</w:t>
      </w:r>
    </w:p>
    <w:p w14:paraId="45561B52" w14:textId="375E2C4E" w:rsidR="00151E3F" w:rsidRPr="00151E3F" w:rsidRDefault="00796CDF" w:rsidP="00796CDF">
      <w:pPr>
        <w:pStyle w:val="Heading3"/>
      </w:pPr>
      <w:r>
        <w:t xml:space="preserve">Support efforts to eliminate or increase the cap on state and local tax (SALT) deductions. </w:t>
      </w:r>
    </w:p>
    <w:p w14:paraId="60172F83" w14:textId="503A22C8" w:rsidR="00151E3F" w:rsidRPr="008C0165" w:rsidRDefault="008C0165" w:rsidP="00E235D1">
      <w:pPr>
        <w:rPr>
          <w:color w:val="auto"/>
          <w:sz w:val="24"/>
        </w:rPr>
      </w:pPr>
      <w:r w:rsidRPr="45BD50B2">
        <w:rPr>
          <w:color w:val="auto"/>
          <w:sz w:val="24"/>
        </w:rPr>
        <w:t>The impacts of the 2017 federal tax cuts affected individuals in a variety of ways due to personal circumstances and financial decisions</w:t>
      </w:r>
      <w:r w:rsidR="1F0C0AA7" w:rsidRPr="45BD50B2">
        <w:rPr>
          <w:color w:val="auto"/>
          <w:sz w:val="24"/>
        </w:rPr>
        <w:t xml:space="preserve">. </w:t>
      </w:r>
      <w:r w:rsidR="37C22FC3" w:rsidRPr="45BD50B2">
        <w:rPr>
          <w:color w:val="auto"/>
          <w:sz w:val="24"/>
        </w:rPr>
        <w:t>H</w:t>
      </w:r>
      <w:r w:rsidRPr="45BD50B2">
        <w:rPr>
          <w:color w:val="auto"/>
          <w:sz w:val="24"/>
        </w:rPr>
        <w:t>owever, the inclusion of a $10,000 cap on taxpayers’ ability to deduct state and local taxes (SALT) from their federally taxable income raised concerns among state and local governments, as those revenues support a variety of services, including funding for transportation, infrastructure, and public safety. Given the significant appreciation in home values nationwide, the $10,000 limit on the SALT deduction for federal income taxes poses a substantial hardship for many families. NATaT supports eliminating or substantially increasing the SALT cap.</w:t>
      </w:r>
    </w:p>
    <w:p w14:paraId="70987A6C" w14:textId="353FBC73" w:rsidR="006A0D98" w:rsidRDefault="006A0D98" w:rsidP="006A0D98">
      <w:pPr>
        <w:pStyle w:val="Heading2"/>
        <w:rPr>
          <w:color w:val="00548A" w:themeColor="accent1"/>
        </w:rPr>
      </w:pPr>
      <w:r w:rsidRPr="006A0D98">
        <w:rPr>
          <w:color w:val="00548A" w:themeColor="accent1"/>
        </w:rPr>
        <w:lastRenderedPageBreak/>
        <w:t>Low-Income Housing Tax Credit Program</w:t>
      </w:r>
    </w:p>
    <w:p w14:paraId="35BA1548" w14:textId="38E80EB0" w:rsidR="006A0D98" w:rsidRDefault="006A0D98" w:rsidP="00DE15F3">
      <w:pPr>
        <w:pStyle w:val="Heading3"/>
      </w:pPr>
      <w:r>
        <w:t xml:space="preserve">NATaT supports actions to strengthen and expand the federal Low-Income Housing Tax Credit (LIHTC) Program, which plays a key role in financing </w:t>
      </w:r>
      <w:r w:rsidR="00DE15F3">
        <w:t xml:space="preserve">affordable housing, to increase available credits and make tax credit equity usage more efficient. </w:t>
      </w:r>
    </w:p>
    <w:p w14:paraId="7DEA8C4F" w14:textId="77777777" w:rsidR="00494F94" w:rsidRPr="00AB1A5C" w:rsidRDefault="000272C2" w:rsidP="00AE1804">
      <w:pPr>
        <w:rPr>
          <w:color w:val="auto"/>
          <w:sz w:val="24"/>
          <w:szCs w:val="32"/>
        </w:rPr>
      </w:pPr>
      <w:r w:rsidRPr="00AB1A5C">
        <w:rPr>
          <w:color w:val="auto"/>
          <w:sz w:val="24"/>
          <w:szCs w:val="32"/>
        </w:rPr>
        <w:t>Millions of affordable homes have been constructed, preserved, or rehabilitated utilizing the LIHTC program. The ability to encourage private investments in affordable housing through tax credits</w:t>
      </w:r>
      <w:r w:rsidR="00AE1804" w:rsidRPr="00AB1A5C">
        <w:rPr>
          <w:color w:val="auto"/>
          <w:sz w:val="24"/>
          <w:szCs w:val="32"/>
        </w:rPr>
        <w:t xml:space="preserve"> is critical to helping meet the demand in </w:t>
      </w:r>
      <w:r w:rsidR="001D21FE" w:rsidRPr="00AB1A5C">
        <w:rPr>
          <w:color w:val="auto"/>
          <w:sz w:val="24"/>
          <w:szCs w:val="32"/>
        </w:rPr>
        <w:t xml:space="preserve">our communities and to </w:t>
      </w:r>
      <w:r w:rsidR="00AE1804" w:rsidRPr="00AB1A5C">
        <w:rPr>
          <w:color w:val="auto"/>
          <w:sz w:val="24"/>
          <w:szCs w:val="32"/>
        </w:rPr>
        <w:t xml:space="preserve">increase the number of affordable homes nationally. </w:t>
      </w:r>
    </w:p>
    <w:p w14:paraId="25A30D24" w14:textId="2BB62849" w:rsidR="008C6A97" w:rsidRPr="00AB1A5C" w:rsidRDefault="008C6A97" w:rsidP="008C6A97">
      <w:pPr>
        <w:rPr>
          <w:color w:val="auto"/>
          <w:sz w:val="24"/>
        </w:rPr>
      </w:pPr>
      <w:r w:rsidRPr="00AB1A5C">
        <w:rPr>
          <w:color w:val="auto"/>
          <w:sz w:val="24"/>
        </w:rPr>
        <w:t xml:space="preserve">There are two </w:t>
      </w:r>
      <w:r w:rsidR="00CE20C4" w:rsidRPr="00AB1A5C">
        <w:rPr>
          <w:color w:val="auto"/>
          <w:sz w:val="24"/>
        </w:rPr>
        <w:t xml:space="preserve">primary housing </w:t>
      </w:r>
      <w:r w:rsidR="002D5570" w:rsidRPr="00AB1A5C">
        <w:rPr>
          <w:color w:val="auto"/>
          <w:sz w:val="24"/>
        </w:rPr>
        <w:t xml:space="preserve">credit rates: 4% and 9%. </w:t>
      </w:r>
      <w:r w:rsidRPr="00AB1A5C">
        <w:rPr>
          <w:color w:val="auto"/>
          <w:sz w:val="24"/>
        </w:rPr>
        <w:t xml:space="preserve">The </w:t>
      </w:r>
      <w:r w:rsidR="243DE516" w:rsidRPr="00AB1A5C">
        <w:rPr>
          <w:color w:val="auto"/>
          <w:sz w:val="24"/>
        </w:rPr>
        <w:t xml:space="preserve">4% </w:t>
      </w:r>
      <w:r w:rsidRPr="00AB1A5C">
        <w:rPr>
          <w:color w:val="auto"/>
          <w:sz w:val="24"/>
        </w:rPr>
        <w:t>credit subsidizes approximately 30</w:t>
      </w:r>
      <w:r w:rsidR="0CBDC7FE" w:rsidRPr="00AB1A5C">
        <w:rPr>
          <w:color w:val="auto"/>
          <w:sz w:val="24"/>
        </w:rPr>
        <w:t xml:space="preserve"> percent </w:t>
      </w:r>
      <w:r w:rsidRPr="00AB1A5C">
        <w:rPr>
          <w:color w:val="auto"/>
          <w:sz w:val="24"/>
        </w:rPr>
        <w:t xml:space="preserve">of eligible low-income unit costs. This credit is mainly used for the acquisition of existing properties and for new development or rehabilitation projects financed with tax-exempt private-activity bonds. </w:t>
      </w:r>
      <w:r w:rsidR="001445D2" w:rsidRPr="00AB1A5C">
        <w:rPr>
          <w:color w:val="auto"/>
          <w:sz w:val="24"/>
        </w:rPr>
        <w:t>T</w:t>
      </w:r>
      <w:r w:rsidRPr="00AB1A5C">
        <w:rPr>
          <w:color w:val="auto"/>
          <w:sz w:val="24"/>
        </w:rPr>
        <w:t xml:space="preserve">he </w:t>
      </w:r>
      <w:r w:rsidR="0783AD14" w:rsidRPr="00AB1A5C">
        <w:rPr>
          <w:color w:val="auto"/>
          <w:sz w:val="24"/>
        </w:rPr>
        <w:t xml:space="preserve">9% </w:t>
      </w:r>
      <w:r w:rsidRPr="00AB1A5C">
        <w:rPr>
          <w:color w:val="auto"/>
          <w:sz w:val="24"/>
        </w:rPr>
        <w:t>credit provides a more substantial subsidy, covering around 70</w:t>
      </w:r>
      <w:r w:rsidR="7400109B" w:rsidRPr="00AB1A5C">
        <w:rPr>
          <w:color w:val="auto"/>
          <w:sz w:val="24"/>
        </w:rPr>
        <w:t xml:space="preserve"> percent </w:t>
      </w:r>
      <w:r w:rsidRPr="00AB1A5C">
        <w:rPr>
          <w:color w:val="auto"/>
          <w:sz w:val="24"/>
        </w:rPr>
        <w:t xml:space="preserve">of eligible low-income unit costs. This credit primarily aims at new construction projects and substantial rehabilitation efforts not involving tax-exempt bond financing.  </w:t>
      </w:r>
    </w:p>
    <w:p w14:paraId="2E70B980" w14:textId="2446874A" w:rsidR="00AE1804" w:rsidRPr="00AB1A5C" w:rsidRDefault="000A621B" w:rsidP="60ABCEB2">
      <w:pPr>
        <w:rPr>
          <w:color w:val="auto"/>
          <w:sz w:val="24"/>
        </w:rPr>
      </w:pPr>
      <w:r w:rsidRPr="00AB1A5C">
        <w:rPr>
          <w:color w:val="auto"/>
          <w:sz w:val="24"/>
        </w:rPr>
        <w:t xml:space="preserve">NATaT supports efforts to </w:t>
      </w:r>
      <w:r w:rsidR="00494F94" w:rsidRPr="00AB1A5C">
        <w:rPr>
          <w:color w:val="auto"/>
          <w:sz w:val="24"/>
        </w:rPr>
        <w:t>i</w:t>
      </w:r>
      <w:r w:rsidR="00AE1804" w:rsidRPr="00AB1A5C">
        <w:rPr>
          <w:color w:val="auto"/>
          <w:sz w:val="24"/>
        </w:rPr>
        <w:t xml:space="preserve">ncrease allocations </w:t>
      </w:r>
      <w:r w:rsidR="00DD0633" w:rsidRPr="00AB1A5C">
        <w:rPr>
          <w:color w:val="auto"/>
          <w:sz w:val="24"/>
        </w:rPr>
        <w:t>of</w:t>
      </w:r>
      <w:r w:rsidR="00AE1804" w:rsidRPr="00AB1A5C">
        <w:rPr>
          <w:color w:val="auto"/>
          <w:sz w:val="24"/>
        </w:rPr>
        <w:t xml:space="preserve"> </w:t>
      </w:r>
      <w:r w:rsidR="4BF5E77A" w:rsidRPr="00AB1A5C">
        <w:rPr>
          <w:color w:val="auto"/>
          <w:sz w:val="24"/>
        </w:rPr>
        <w:t xml:space="preserve">9% </w:t>
      </w:r>
      <w:r w:rsidR="00AE1804" w:rsidRPr="00AB1A5C">
        <w:rPr>
          <w:color w:val="auto"/>
          <w:sz w:val="24"/>
        </w:rPr>
        <w:t xml:space="preserve">housing tax credits to states by 50 percent. These credits </w:t>
      </w:r>
      <w:r w:rsidR="00CC65C8" w:rsidRPr="00AB1A5C">
        <w:rPr>
          <w:color w:val="auto"/>
          <w:sz w:val="24"/>
        </w:rPr>
        <w:t>provide an e</w:t>
      </w:r>
      <w:r w:rsidR="00AE1804" w:rsidRPr="00AB1A5C">
        <w:rPr>
          <w:color w:val="auto"/>
          <w:sz w:val="24"/>
        </w:rPr>
        <w:t xml:space="preserve">xtremely successful and efficient </w:t>
      </w:r>
      <w:r w:rsidR="00CC65C8" w:rsidRPr="00AB1A5C">
        <w:rPr>
          <w:color w:val="auto"/>
          <w:sz w:val="24"/>
        </w:rPr>
        <w:t>way to facilitate</w:t>
      </w:r>
      <w:r w:rsidR="00AE1804" w:rsidRPr="00AB1A5C">
        <w:rPr>
          <w:color w:val="auto"/>
          <w:sz w:val="24"/>
        </w:rPr>
        <w:t xml:space="preserve"> the production and rehabilitation of affordable housing across the </w:t>
      </w:r>
      <w:r w:rsidR="3F5C4BD1" w:rsidRPr="00AB1A5C">
        <w:rPr>
          <w:color w:val="auto"/>
          <w:sz w:val="24"/>
        </w:rPr>
        <w:t>country</w:t>
      </w:r>
      <w:r w:rsidR="00AE1804" w:rsidRPr="00AB1A5C">
        <w:rPr>
          <w:color w:val="auto"/>
          <w:sz w:val="24"/>
        </w:rPr>
        <w:t xml:space="preserve">. On average, 50 percent of the total financing for </w:t>
      </w:r>
      <w:r w:rsidR="0076339F" w:rsidRPr="00AB1A5C">
        <w:rPr>
          <w:color w:val="auto"/>
          <w:sz w:val="24"/>
        </w:rPr>
        <w:t>9%</w:t>
      </w:r>
      <w:r w:rsidR="005975CE" w:rsidRPr="00AB1A5C">
        <w:rPr>
          <w:color w:val="auto"/>
          <w:sz w:val="24"/>
        </w:rPr>
        <w:t xml:space="preserve"> </w:t>
      </w:r>
      <w:r w:rsidR="00AE1804" w:rsidRPr="00AB1A5C">
        <w:rPr>
          <w:color w:val="auto"/>
          <w:sz w:val="24"/>
        </w:rPr>
        <w:t xml:space="preserve">LIHTC projects comes from the equity derived from the credit. </w:t>
      </w:r>
      <w:r w:rsidR="004030F7" w:rsidRPr="00AB1A5C">
        <w:rPr>
          <w:color w:val="auto"/>
          <w:sz w:val="24"/>
        </w:rPr>
        <w:t xml:space="preserve">NATaT supports expanding </w:t>
      </w:r>
      <w:r w:rsidR="00570745" w:rsidRPr="00AB1A5C">
        <w:rPr>
          <w:color w:val="auto"/>
          <w:sz w:val="24"/>
        </w:rPr>
        <w:t xml:space="preserve">access to </w:t>
      </w:r>
      <w:proofErr w:type="gramStart"/>
      <w:r w:rsidR="00DD4034" w:rsidRPr="00AB1A5C">
        <w:rPr>
          <w:color w:val="auto"/>
          <w:sz w:val="24"/>
        </w:rPr>
        <w:t xml:space="preserve">the </w:t>
      </w:r>
      <w:r w:rsidR="008A540C" w:rsidRPr="00AB1A5C">
        <w:rPr>
          <w:color w:val="auto"/>
          <w:sz w:val="24"/>
        </w:rPr>
        <w:t>9</w:t>
      </w:r>
      <w:proofErr w:type="gramEnd"/>
      <w:r w:rsidR="008A540C" w:rsidRPr="00AB1A5C">
        <w:rPr>
          <w:color w:val="auto"/>
          <w:sz w:val="24"/>
        </w:rPr>
        <w:t>%</w:t>
      </w:r>
      <w:r w:rsidR="00DD4034" w:rsidRPr="00AB1A5C">
        <w:rPr>
          <w:color w:val="auto"/>
          <w:sz w:val="24"/>
        </w:rPr>
        <w:t xml:space="preserve"> LIHTC. </w:t>
      </w:r>
    </w:p>
    <w:p w14:paraId="6EA4A1D2" w14:textId="031BF227" w:rsidR="009520A2" w:rsidRPr="00AB1A5C" w:rsidRDefault="001565B3" w:rsidP="009520A2">
      <w:pPr>
        <w:rPr>
          <w:color w:val="auto"/>
          <w:sz w:val="24"/>
          <w:szCs w:val="32"/>
        </w:rPr>
      </w:pPr>
      <w:r w:rsidRPr="00AB1A5C">
        <w:rPr>
          <w:color w:val="auto"/>
          <w:sz w:val="24"/>
          <w:szCs w:val="32"/>
        </w:rPr>
        <w:t xml:space="preserve">However, NATaT opposes any effort to limit local authority. </w:t>
      </w:r>
      <w:r w:rsidR="00A35B84" w:rsidRPr="00AB1A5C">
        <w:rPr>
          <w:color w:val="auto"/>
          <w:sz w:val="24"/>
          <w:szCs w:val="32"/>
        </w:rPr>
        <w:t xml:space="preserve">Current law requires state agencies to notify the chief executive officer (or equivalent) of a local jurisdiction in which a proposed building would be located. </w:t>
      </w:r>
      <w:r w:rsidRPr="00AB1A5C">
        <w:rPr>
          <w:color w:val="auto"/>
          <w:sz w:val="24"/>
          <w:szCs w:val="32"/>
        </w:rPr>
        <w:t>In some state</w:t>
      </w:r>
      <w:r w:rsidR="00CA3040" w:rsidRPr="00AB1A5C">
        <w:rPr>
          <w:color w:val="auto"/>
          <w:sz w:val="24"/>
          <w:szCs w:val="32"/>
        </w:rPr>
        <w:t>s</w:t>
      </w:r>
      <w:r w:rsidRPr="00AB1A5C">
        <w:rPr>
          <w:color w:val="auto"/>
          <w:sz w:val="24"/>
          <w:szCs w:val="32"/>
        </w:rPr>
        <w:t xml:space="preserve">, </w:t>
      </w:r>
      <w:r w:rsidR="00A35B84" w:rsidRPr="00AB1A5C">
        <w:rPr>
          <w:color w:val="auto"/>
          <w:sz w:val="24"/>
          <w:szCs w:val="32"/>
        </w:rPr>
        <w:t xml:space="preserve">developers </w:t>
      </w:r>
      <w:r w:rsidRPr="00AB1A5C">
        <w:rPr>
          <w:color w:val="auto"/>
          <w:sz w:val="24"/>
          <w:szCs w:val="32"/>
        </w:rPr>
        <w:t xml:space="preserve">are required </w:t>
      </w:r>
      <w:r w:rsidR="00A35B84" w:rsidRPr="00AB1A5C">
        <w:rPr>
          <w:color w:val="auto"/>
          <w:sz w:val="24"/>
          <w:szCs w:val="32"/>
        </w:rPr>
        <w:t xml:space="preserve">to demonstrate local support for Housing Credit developments as part of a competitive scoring process for developments. </w:t>
      </w:r>
      <w:r w:rsidR="0035556D" w:rsidRPr="00AB1A5C">
        <w:rPr>
          <w:color w:val="auto"/>
          <w:sz w:val="24"/>
          <w:szCs w:val="32"/>
        </w:rPr>
        <w:t>Legislation introduced in the 118</w:t>
      </w:r>
      <w:r w:rsidR="0035556D" w:rsidRPr="00AB1A5C">
        <w:rPr>
          <w:color w:val="auto"/>
          <w:sz w:val="24"/>
          <w:szCs w:val="32"/>
          <w:vertAlign w:val="superscript"/>
        </w:rPr>
        <w:t>th</w:t>
      </w:r>
      <w:r w:rsidR="0035556D" w:rsidRPr="00AB1A5C">
        <w:rPr>
          <w:color w:val="auto"/>
          <w:sz w:val="24"/>
          <w:szCs w:val="32"/>
        </w:rPr>
        <w:t xml:space="preserve"> Congress </w:t>
      </w:r>
      <w:r w:rsidR="0002227F" w:rsidRPr="00AB1A5C">
        <w:rPr>
          <w:color w:val="auto"/>
          <w:sz w:val="24"/>
          <w:szCs w:val="32"/>
        </w:rPr>
        <w:t xml:space="preserve">that expands access to the 9% LIHTC also </w:t>
      </w:r>
      <w:r w:rsidR="00270904" w:rsidRPr="00AB1A5C">
        <w:rPr>
          <w:color w:val="auto"/>
          <w:sz w:val="24"/>
          <w:szCs w:val="32"/>
        </w:rPr>
        <w:t xml:space="preserve">challenged </w:t>
      </w:r>
      <w:r w:rsidR="0035556D" w:rsidRPr="00AB1A5C">
        <w:rPr>
          <w:color w:val="auto"/>
          <w:sz w:val="24"/>
          <w:szCs w:val="32"/>
        </w:rPr>
        <w:t xml:space="preserve">local authority </w:t>
      </w:r>
      <w:r w:rsidR="00B76658" w:rsidRPr="00AB1A5C">
        <w:rPr>
          <w:color w:val="auto"/>
          <w:sz w:val="24"/>
          <w:szCs w:val="32"/>
        </w:rPr>
        <w:t xml:space="preserve">citing the “unintended consequence” of giving </w:t>
      </w:r>
      <w:r w:rsidR="00A35B84" w:rsidRPr="00AB1A5C">
        <w:rPr>
          <w:color w:val="auto"/>
          <w:sz w:val="24"/>
          <w:szCs w:val="32"/>
        </w:rPr>
        <w:t>local government officials veto power over developments</w:t>
      </w:r>
      <w:r w:rsidR="00B76658" w:rsidRPr="00AB1A5C">
        <w:rPr>
          <w:color w:val="auto"/>
          <w:sz w:val="24"/>
          <w:szCs w:val="32"/>
        </w:rPr>
        <w:t xml:space="preserve"> because </w:t>
      </w:r>
      <w:r w:rsidR="00A35B84" w:rsidRPr="00AB1A5C">
        <w:rPr>
          <w:color w:val="auto"/>
          <w:sz w:val="24"/>
          <w:szCs w:val="32"/>
        </w:rPr>
        <w:t xml:space="preserve">withholding support could result in the development not getting funded. </w:t>
      </w:r>
      <w:r w:rsidR="006D5C52" w:rsidRPr="00AB1A5C">
        <w:rPr>
          <w:color w:val="auto"/>
          <w:sz w:val="24"/>
          <w:szCs w:val="32"/>
        </w:rPr>
        <w:t xml:space="preserve">More specifically, the bill included </w:t>
      </w:r>
      <w:r w:rsidR="009520A2" w:rsidRPr="00AB1A5C">
        <w:rPr>
          <w:color w:val="auto"/>
          <w:sz w:val="24"/>
          <w:szCs w:val="32"/>
        </w:rPr>
        <w:t>language</w:t>
      </w:r>
      <w:r w:rsidR="00DA1C76" w:rsidRPr="00AB1A5C">
        <w:rPr>
          <w:color w:val="auto"/>
          <w:sz w:val="24"/>
          <w:szCs w:val="32"/>
        </w:rPr>
        <w:t xml:space="preserve"> that local approval or </w:t>
      </w:r>
      <w:r w:rsidR="00D6401C" w:rsidRPr="00AB1A5C">
        <w:rPr>
          <w:color w:val="auto"/>
          <w:sz w:val="24"/>
          <w:szCs w:val="32"/>
        </w:rPr>
        <w:t xml:space="preserve">any local </w:t>
      </w:r>
      <w:r w:rsidR="00DA1C76" w:rsidRPr="00AB1A5C">
        <w:rPr>
          <w:color w:val="auto"/>
          <w:sz w:val="24"/>
          <w:szCs w:val="32"/>
        </w:rPr>
        <w:t xml:space="preserve">contribution shall not be </w:t>
      </w:r>
      <w:r w:rsidR="00853C16" w:rsidRPr="00AB1A5C">
        <w:rPr>
          <w:color w:val="auto"/>
          <w:sz w:val="24"/>
          <w:szCs w:val="32"/>
        </w:rPr>
        <w:t>considered</w:t>
      </w:r>
      <w:r w:rsidR="00A7306C" w:rsidRPr="00AB1A5C">
        <w:rPr>
          <w:color w:val="auto"/>
          <w:sz w:val="24"/>
          <w:szCs w:val="32"/>
        </w:rPr>
        <w:t xml:space="preserve">. </w:t>
      </w:r>
      <w:r w:rsidR="00853C16" w:rsidRPr="00AB1A5C">
        <w:rPr>
          <w:color w:val="auto"/>
          <w:sz w:val="24"/>
          <w:szCs w:val="32"/>
        </w:rPr>
        <w:t>It is imperative that local governments maintain authority relative to zoning and land use decisions. Local government is actively engaged in helping increase housing stock in a fair and locally sensitive way, and federal preemption of this local authority would have a devastating impact on our communities.</w:t>
      </w:r>
    </w:p>
    <w:sectPr w:rsidR="009520A2" w:rsidRPr="00AB1A5C" w:rsidSect="00490C69">
      <w:headerReference w:type="first" r:id="rId12"/>
      <w:pgSz w:w="12240" w:h="15840"/>
      <w:pgMar w:top="1440" w:right="1080" w:bottom="1440" w:left="1080" w:header="72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CCAED" w14:textId="77777777" w:rsidR="004713F3" w:rsidRDefault="004713F3" w:rsidP="003C56AA">
      <w:pPr>
        <w:spacing w:before="0" w:line="240" w:lineRule="auto"/>
      </w:pPr>
      <w:r>
        <w:separator/>
      </w:r>
    </w:p>
  </w:endnote>
  <w:endnote w:type="continuationSeparator" w:id="0">
    <w:p w14:paraId="7E385011" w14:textId="77777777" w:rsidR="004713F3" w:rsidRDefault="004713F3" w:rsidP="003C56AA">
      <w:pPr>
        <w:spacing w:before="0" w:line="240" w:lineRule="auto"/>
      </w:pPr>
      <w:r>
        <w:continuationSeparator/>
      </w:r>
    </w:p>
  </w:endnote>
  <w:endnote w:type="continuationNotice" w:id="1">
    <w:p w14:paraId="1C31C297" w14:textId="77777777" w:rsidR="004713F3" w:rsidRDefault="004713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modern"/>
    <w:notTrueType/>
    <w:pitch w:val="variable"/>
    <w:sig w:usb0="A00002EF" w:usb1="5000E0FB" w:usb2="00000000" w:usb3="00000000" w:csb0="0000019F" w:csb1="00000000"/>
  </w:font>
  <w:font w:name="ProximaNova-Regular">
    <w:altName w:val="Calibri"/>
    <w:panose1 w:val="00000000000000000000"/>
    <w:charset w:val="00"/>
    <w:family w:val="auto"/>
    <w:notTrueType/>
    <w:pitch w:val="variable"/>
    <w:sig w:usb0="20000287" w:usb1="00000001" w:usb2="00000000" w:usb3="00000000" w:csb0="0000019F" w:csb1="00000000"/>
  </w:font>
  <w:font w:name="ProximaNova-Bold">
    <w:altName w:val="Calibri"/>
    <w:panose1 w:val="00000000000000000000"/>
    <w:charset w:val="00"/>
    <w:family w:val="auto"/>
    <w:notTrueType/>
    <w:pitch w:val="variable"/>
    <w:sig w:usb0="20000287" w:usb1="00000001"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F1860" w14:textId="77777777" w:rsidR="004713F3" w:rsidRDefault="004713F3" w:rsidP="003C56AA">
      <w:pPr>
        <w:spacing w:before="0" w:line="240" w:lineRule="auto"/>
      </w:pPr>
      <w:r>
        <w:separator/>
      </w:r>
    </w:p>
  </w:footnote>
  <w:footnote w:type="continuationSeparator" w:id="0">
    <w:p w14:paraId="5FBB81E0" w14:textId="77777777" w:rsidR="004713F3" w:rsidRDefault="004713F3" w:rsidP="003C56AA">
      <w:pPr>
        <w:spacing w:before="0" w:line="240" w:lineRule="auto"/>
      </w:pPr>
      <w:r>
        <w:continuationSeparator/>
      </w:r>
    </w:p>
  </w:footnote>
  <w:footnote w:type="continuationNotice" w:id="1">
    <w:p w14:paraId="39BBAFF3" w14:textId="77777777" w:rsidR="004713F3" w:rsidRDefault="004713F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3FC1" w14:textId="77777777" w:rsidR="004B1152" w:rsidRDefault="004B1152" w:rsidP="004B1152">
    <w:pPr>
      <w:pStyle w:val="Header"/>
      <w:framePr w:wrap="none" w:vAnchor="text" w:hAnchor="page" w:x="1797" w:y="-164"/>
      <w:jc w:val="right"/>
      <w:rPr>
        <w:rStyle w:val="PageNumber"/>
      </w:rPr>
    </w:pPr>
    <w:r>
      <w:rPr>
        <w:rStyle w:val="PageNumber"/>
        <w:color w:val="F47721"/>
      </w:rPr>
      <w:t>Grants to Support Stormwater Projects</w:t>
    </w:r>
  </w:p>
  <w:p w14:paraId="1E24CD38" w14:textId="77777777" w:rsidR="004B1152" w:rsidRDefault="00000000" w:rsidP="004B1152">
    <w:pPr>
      <w:pStyle w:val="Header"/>
      <w:framePr w:wrap="none" w:vAnchor="text" w:hAnchor="page" w:x="11010" w:y="-144"/>
      <w:jc w:val="right"/>
      <w:rPr>
        <w:rStyle w:val="PageNumber"/>
      </w:rPr>
    </w:pPr>
    <w:sdt>
      <w:sdtPr>
        <w:rPr>
          <w:rStyle w:val="PageNumber"/>
        </w:rPr>
        <w:id w:val="998387325"/>
        <w:docPartObj>
          <w:docPartGallery w:val="Page Numbers (Top of Page)"/>
          <w:docPartUnique/>
        </w:docPartObj>
      </w:sdtPr>
      <w:sdtContent>
        <w:r w:rsidR="004B1152">
          <w:rPr>
            <w:rStyle w:val="PageNumber"/>
          </w:rPr>
          <w:fldChar w:fldCharType="begin"/>
        </w:r>
        <w:r w:rsidR="004B1152">
          <w:rPr>
            <w:rStyle w:val="PageNumber"/>
          </w:rPr>
          <w:instrText xml:space="preserve"> PAGE </w:instrText>
        </w:r>
        <w:r w:rsidR="004B1152">
          <w:rPr>
            <w:rStyle w:val="PageNumber"/>
          </w:rPr>
          <w:fldChar w:fldCharType="separate"/>
        </w:r>
        <w:r w:rsidR="004B1152">
          <w:rPr>
            <w:rStyle w:val="PageNumber"/>
          </w:rPr>
          <w:t>2</w:t>
        </w:r>
        <w:r w:rsidR="004B1152">
          <w:rPr>
            <w:rStyle w:val="PageNumber"/>
          </w:rPr>
          <w:fldChar w:fldCharType="end"/>
        </w:r>
      </w:sdtContent>
    </w:sdt>
  </w:p>
  <w:p w14:paraId="04E1ABCC" w14:textId="77777777" w:rsidR="004B1152" w:rsidRPr="00757B79" w:rsidRDefault="004B1152" w:rsidP="004B1152">
    <w:pPr>
      <w:pStyle w:val="Header"/>
      <w:framePr w:wrap="none" w:vAnchor="text" w:hAnchor="page" w:x="8061" w:y="-161"/>
      <w:jc w:val="right"/>
      <w:rPr>
        <w:rStyle w:val="PageNumber"/>
        <w:b/>
      </w:rPr>
    </w:pPr>
    <w:r>
      <w:rPr>
        <w:rStyle w:val="PageNumber"/>
        <w:b/>
        <w:color w:val="F47721"/>
      </w:rPr>
      <w:t>TheFergusonGroup.com</w:t>
    </w:r>
  </w:p>
  <w:p w14:paraId="60886B67" w14:textId="77777777" w:rsidR="00335F21" w:rsidRDefault="004B1152">
    <w:pPr>
      <w:pStyle w:val="Header"/>
    </w:pPr>
    <w:r w:rsidRPr="00F03373">
      <w:rPr>
        <w:noProof/>
      </w:rPr>
      <w:drawing>
        <wp:anchor distT="0" distB="0" distL="114300" distR="114300" simplePos="0" relativeHeight="251658240" behindDoc="1" locked="0" layoutInCell="1" allowOverlap="1" wp14:anchorId="15CD12BF" wp14:editId="7754F01E">
          <wp:simplePos x="0" y="0"/>
          <wp:positionH relativeFrom="column">
            <wp:posOffset>5376545</wp:posOffset>
          </wp:positionH>
          <wp:positionV relativeFrom="paragraph">
            <wp:posOffset>-237259</wp:posOffset>
          </wp:positionV>
          <wp:extent cx="347472" cy="3474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7472" cy="3474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3D7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58A106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7EBD6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9AAD23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CFE3BD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9CB0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4FAB0C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B3C0C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A8E428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D2C45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5EA96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565446"/>
    <w:multiLevelType w:val="hybridMultilevel"/>
    <w:tmpl w:val="1E9A6D68"/>
    <w:lvl w:ilvl="0" w:tplc="9F6EDAFA">
      <w:numFmt w:val="bullet"/>
      <w:lvlText w:val="•"/>
      <w:lvlJc w:val="left"/>
      <w:pPr>
        <w:ind w:left="360" w:hanging="360"/>
      </w:pPr>
      <w:rPr>
        <w:rFonts w:ascii="Calibri" w:eastAsiaTheme="minorHAnsi" w:hAnsi="Calibri" w:cs="Calibri"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1C7961"/>
    <w:multiLevelType w:val="hybridMultilevel"/>
    <w:tmpl w:val="C792B2DA"/>
    <w:lvl w:ilvl="0" w:tplc="04090003">
      <w:start w:val="1"/>
      <w:numFmt w:val="bullet"/>
      <w:lvlText w:val="o"/>
      <w:lvlJc w:val="left"/>
      <w:pPr>
        <w:ind w:left="1080" w:hanging="360"/>
      </w:pPr>
      <w:rPr>
        <w:rFonts w:ascii="Courier New" w:hAnsi="Courier New" w:cs="Courier New"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AE18C5"/>
    <w:multiLevelType w:val="hybridMultilevel"/>
    <w:tmpl w:val="09EAA0EC"/>
    <w:lvl w:ilvl="0" w:tplc="95545936">
      <w:start w:val="1"/>
      <w:numFmt w:val="bullet"/>
      <w:lvlText w:val=""/>
      <w:lvlJc w:val="left"/>
      <w:pPr>
        <w:ind w:left="360" w:hanging="360"/>
      </w:pPr>
      <w:rPr>
        <w:rFonts w:ascii="Symbol" w:hAnsi="Symbol" w:hint="default"/>
        <w:sz w:val="24"/>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9B3F3B"/>
    <w:multiLevelType w:val="hybridMultilevel"/>
    <w:tmpl w:val="0C903380"/>
    <w:lvl w:ilvl="0" w:tplc="A4B099F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3DB2"/>
    <w:multiLevelType w:val="hybridMultilevel"/>
    <w:tmpl w:val="AD70271C"/>
    <w:lvl w:ilvl="0" w:tplc="04090003">
      <w:start w:val="1"/>
      <w:numFmt w:val="bullet"/>
      <w:lvlText w:val="o"/>
      <w:lvlJc w:val="left"/>
      <w:pPr>
        <w:ind w:left="1080" w:hanging="720"/>
      </w:pPr>
      <w:rPr>
        <w:rFonts w:ascii="Courier New" w:hAnsi="Courier New" w:cs="Courier New"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925FA"/>
    <w:multiLevelType w:val="hybridMultilevel"/>
    <w:tmpl w:val="3064F9B2"/>
    <w:lvl w:ilvl="0" w:tplc="9554593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47F2F"/>
    <w:multiLevelType w:val="hybridMultilevel"/>
    <w:tmpl w:val="DF763074"/>
    <w:lvl w:ilvl="0" w:tplc="04090003">
      <w:start w:val="1"/>
      <w:numFmt w:val="bullet"/>
      <w:lvlText w:val="o"/>
      <w:lvlJc w:val="left"/>
      <w:pPr>
        <w:ind w:left="720" w:hanging="360"/>
      </w:pPr>
      <w:rPr>
        <w:rFonts w:ascii="Courier New" w:hAnsi="Courier New" w:cs="Courier New"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01AF"/>
    <w:multiLevelType w:val="hybridMultilevel"/>
    <w:tmpl w:val="93628806"/>
    <w:lvl w:ilvl="0" w:tplc="9554593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6C23"/>
    <w:multiLevelType w:val="hybridMultilevel"/>
    <w:tmpl w:val="D3866F86"/>
    <w:lvl w:ilvl="0" w:tplc="5978AD0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6F7287"/>
    <w:multiLevelType w:val="hybridMultilevel"/>
    <w:tmpl w:val="451468D0"/>
    <w:lvl w:ilvl="0" w:tplc="9554593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9739A"/>
    <w:multiLevelType w:val="hybridMultilevel"/>
    <w:tmpl w:val="33E2DB3E"/>
    <w:lvl w:ilvl="0" w:tplc="5978AD0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63849"/>
    <w:multiLevelType w:val="hybridMultilevel"/>
    <w:tmpl w:val="630095FA"/>
    <w:lvl w:ilvl="0" w:tplc="3BC447DE">
      <w:numFmt w:val="bullet"/>
      <w:lvlText w:val="•"/>
      <w:lvlJc w:val="left"/>
      <w:pPr>
        <w:ind w:left="720" w:hanging="720"/>
      </w:pPr>
      <w:rPr>
        <w:rFonts w:ascii="Calibri" w:eastAsiaTheme="minorHAns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720899">
    <w:abstractNumId w:val="1"/>
  </w:num>
  <w:num w:numId="2" w16cid:durableId="1227183036">
    <w:abstractNumId w:val="2"/>
  </w:num>
  <w:num w:numId="3" w16cid:durableId="1071077533">
    <w:abstractNumId w:val="3"/>
  </w:num>
  <w:num w:numId="4" w16cid:durableId="1075082595">
    <w:abstractNumId w:val="4"/>
  </w:num>
  <w:num w:numId="5" w16cid:durableId="69935896">
    <w:abstractNumId w:val="9"/>
  </w:num>
  <w:num w:numId="6" w16cid:durableId="751510477">
    <w:abstractNumId w:val="5"/>
  </w:num>
  <w:num w:numId="7" w16cid:durableId="622081598">
    <w:abstractNumId w:val="6"/>
  </w:num>
  <w:num w:numId="8" w16cid:durableId="858354110">
    <w:abstractNumId w:val="7"/>
  </w:num>
  <w:num w:numId="9" w16cid:durableId="1362129397">
    <w:abstractNumId w:val="8"/>
  </w:num>
  <w:num w:numId="10" w16cid:durableId="1424453141">
    <w:abstractNumId w:val="10"/>
  </w:num>
  <w:num w:numId="11" w16cid:durableId="1949313475">
    <w:abstractNumId w:val="20"/>
  </w:num>
  <w:num w:numId="12" w16cid:durableId="29503327">
    <w:abstractNumId w:val="12"/>
  </w:num>
  <w:num w:numId="13" w16cid:durableId="95255851">
    <w:abstractNumId w:val="17"/>
  </w:num>
  <w:num w:numId="14" w16cid:durableId="825632567">
    <w:abstractNumId w:val="14"/>
  </w:num>
  <w:num w:numId="15" w16cid:durableId="1829058498">
    <w:abstractNumId w:val="18"/>
  </w:num>
  <w:num w:numId="16" w16cid:durableId="548878065">
    <w:abstractNumId w:val="13"/>
  </w:num>
  <w:num w:numId="17" w16cid:durableId="1375350547">
    <w:abstractNumId w:val="16"/>
  </w:num>
  <w:num w:numId="18" w16cid:durableId="1612977107">
    <w:abstractNumId w:val="19"/>
  </w:num>
  <w:num w:numId="19" w16cid:durableId="1930455709">
    <w:abstractNumId w:val="21"/>
  </w:num>
  <w:num w:numId="20" w16cid:durableId="725491209">
    <w:abstractNumId w:val="22"/>
  </w:num>
  <w:num w:numId="21" w16cid:durableId="1668288866">
    <w:abstractNumId w:val="15"/>
  </w:num>
  <w:num w:numId="22" w16cid:durableId="1301109268">
    <w:abstractNumId w:val="11"/>
  </w:num>
  <w:num w:numId="23" w16cid:durableId="58237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87"/>
    <w:rsid w:val="000146FA"/>
    <w:rsid w:val="0002227F"/>
    <w:rsid w:val="00022A0D"/>
    <w:rsid w:val="0002729A"/>
    <w:rsid w:val="000272C2"/>
    <w:rsid w:val="00046D00"/>
    <w:rsid w:val="000537FE"/>
    <w:rsid w:val="00067A0E"/>
    <w:rsid w:val="000927C9"/>
    <w:rsid w:val="000A3456"/>
    <w:rsid w:val="000A621B"/>
    <w:rsid w:val="000B5679"/>
    <w:rsid w:val="000B7BC9"/>
    <w:rsid w:val="000D3371"/>
    <w:rsid w:val="000E5702"/>
    <w:rsid w:val="000E7352"/>
    <w:rsid w:val="001043CB"/>
    <w:rsid w:val="00107A0E"/>
    <w:rsid w:val="00111CAC"/>
    <w:rsid w:val="00114A97"/>
    <w:rsid w:val="00115A05"/>
    <w:rsid w:val="00121B8D"/>
    <w:rsid w:val="00122230"/>
    <w:rsid w:val="001274F6"/>
    <w:rsid w:val="00131756"/>
    <w:rsid w:val="00134108"/>
    <w:rsid w:val="00143516"/>
    <w:rsid w:val="001445D2"/>
    <w:rsid w:val="001457D4"/>
    <w:rsid w:val="0015033A"/>
    <w:rsid w:val="00151E3F"/>
    <w:rsid w:val="001563F3"/>
    <w:rsid w:val="001565B3"/>
    <w:rsid w:val="001656E4"/>
    <w:rsid w:val="00180DDE"/>
    <w:rsid w:val="001830D6"/>
    <w:rsid w:val="001B3145"/>
    <w:rsid w:val="001D173B"/>
    <w:rsid w:val="001D21FE"/>
    <w:rsid w:val="001E2657"/>
    <w:rsid w:val="001E3432"/>
    <w:rsid w:val="001E3890"/>
    <w:rsid w:val="001E4295"/>
    <w:rsid w:val="001F4436"/>
    <w:rsid w:val="001F702B"/>
    <w:rsid w:val="00200E22"/>
    <w:rsid w:val="002065DD"/>
    <w:rsid w:val="00214581"/>
    <w:rsid w:val="00214A74"/>
    <w:rsid w:val="0021611F"/>
    <w:rsid w:val="00233449"/>
    <w:rsid w:val="00244300"/>
    <w:rsid w:val="00250F3D"/>
    <w:rsid w:val="002568AD"/>
    <w:rsid w:val="002626BD"/>
    <w:rsid w:val="00262755"/>
    <w:rsid w:val="00267C57"/>
    <w:rsid w:val="00270904"/>
    <w:rsid w:val="0027125A"/>
    <w:rsid w:val="00276FC7"/>
    <w:rsid w:val="0029729B"/>
    <w:rsid w:val="002C12B3"/>
    <w:rsid w:val="002D0BF6"/>
    <w:rsid w:val="002D5570"/>
    <w:rsid w:val="002E2565"/>
    <w:rsid w:val="002F2EAA"/>
    <w:rsid w:val="002F393D"/>
    <w:rsid w:val="002F480B"/>
    <w:rsid w:val="0031092A"/>
    <w:rsid w:val="00335F21"/>
    <w:rsid w:val="00352AA1"/>
    <w:rsid w:val="00352E0C"/>
    <w:rsid w:val="00354BB7"/>
    <w:rsid w:val="0035556D"/>
    <w:rsid w:val="00373014"/>
    <w:rsid w:val="00373C51"/>
    <w:rsid w:val="00382009"/>
    <w:rsid w:val="00391596"/>
    <w:rsid w:val="003A04B8"/>
    <w:rsid w:val="003A1ED6"/>
    <w:rsid w:val="003A5C5E"/>
    <w:rsid w:val="003C56AA"/>
    <w:rsid w:val="003C7E28"/>
    <w:rsid w:val="003D7987"/>
    <w:rsid w:val="003E0227"/>
    <w:rsid w:val="003E3F0C"/>
    <w:rsid w:val="004030F7"/>
    <w:rsid w:val="00433F62"/>
    <w:rsid w:val="00440505"/>
    <w:rsid w:val="00440514"/>
    <w:rsid w:val="004406E3"/>
    <w:rsid w:val="00443D2D"/>
    <w:rsid w:val="004500CF"/>
    <w:rsid w:val="00462F06"/>
    <w:rsid w:val="00471085"/>
    <w:rsid w:val="004713F3"/>
    <w:rsid w:val="00475492"/>
    <w:rsid w:val="00490C69"/>
    <w:rsid w:val="00494F94"/>
    <w:rsid w:val="004A3199"/>
    <w:rsid w:val="004B1152"/>
    <w:rsid w:val="004B5E93"/>
    <w:rsid w:val="004C52C2"/>
    <w:rsid w:val="004F0B11"/>
    <w:rsid w:val="005153F7"/>
    <w:rsid w:val="005161E9"/>
    <w:rsid w:val="00523B11"/>
    <w:rsid w:val="00526FDB"/>
    <w:rsid w:val="0053248F"/>
    <w:rsid w:val="00542840"/>
    <w:rsid w:val="005503F7"/>
    <w:rsid w:val="00570745"/>
    <w:rsid w:val="00572327"/>
    <w:rsid w:val="005975CE"/>
    <w:rsid w:val="005B141C"/>
    <w:rsid w:val="005B6461"/>
    <w:rsid w:val="005C00C0"/>
    <w:rsid w:val="005C39D4"/>
    <w:rsid w:val="005E3122"/>
    <w:rsid w:val="005E7B25"/>
    <w:rsid w:val="005F30B7"/>
    <w:rsid w:val="005F7733"/>
    <w:rsid w:val="00601747"/>
    <w:rsid w:val="0060331B"/>
    <w:rsid w:val="00607279"/>
    <w:rsid w:val="0061340F"/>
    <w:rsid w:val="00614014"/>
    <w:rsid w:val="00614E47"/>
    <w:rsid w:val="00615A82"/>
    <w:rsid w:val="0061713D"/>
    <w:rsid w:val="006264E5"/>
    <w:rsid w:val="00644F72"/>
    <w:rsid w:val="00653C24"/>
    <w:rsid w:val="006540C7"/>
    <w:rsid w:val="00664BD3"/>
    <w:rsid w:val="006711C6"/>
    <w:rsid w:val="00675902"/>
    <w:rsid w:val="00681411"/>
    <w:rsid w:val="00685EA0"/>
    <w:rsid w:val="00690E3C"/>
    <w:rsid w:val="00692BB8"/>
    <w:rsid w:val="00696090"/>
    <w:rsid w:val="006A0D98"/>
    <w:rsid w:val="006A11C2"/>
    <w:rsid w:val="006A74F9"/>
    <w:rsid w:val="006B2053"/>
    <w:rsid w:val="006C008F"/>
    <w:rsid w:val="006D5C52"/>
    <w:rsid w:val="006E189A"/>
    <w:rsid w:val="006E77AE"/>
    <w:rsid w:val="006F219C"/>
    <w:rsid w:val="00701736"/>
    <w:rsid w:val="00704E79"/>
    <w:rsid w:val="00726CFB"/>
    <w:rsid w:val="00735080"/>
    <w:rsid w:val="0073568B"/>
    <w:rsid w:val="00737BD4"/>
    <w:rsid w:val="00737ECA"/>
    <w:rsid w:val="007448D8"/>
    <w:rsid w:val="0074719C"/>
    <w:rsid w:val="007510D3"/>
    <w:rsid w:val="00755AD1"/>
    <w:rsid w:val="00757B79"/>
    <w:rsid w:val="0076339F"/>
    <w:rsid w:val="007738E7"/>
    <w:rsid w:val="00786DA5"/>
    <w:rsid w:val="00791553"/>
    <w:rsid w:val="00796CDF"/>
    <w:rsid w:val="007A4E7A"/>
    <w:rsid w:val="007A585D"/>
    <w:rsid w:val="007B0375"/>
    <w:rsid w:val="007D3C5A"/>
    <w:rsid w:val="008017C0"/>
    <w:rsid w:val="00802C5B"/>
    <w:rsid w:val="008178AF"/>
    <w:rsid w:val="00825322"/>
    <w:rsid w:val="00835E3A"/>
    <w:rsid w:val="00853C16"/>
    <w:rsid w:val="00863B0D"/>
    <w:rsid w:val="00872DC9"/>
    <w:rsid w:val="00874FDB"/>
    <w:rsid w:val="008A540C"/>
    <w:rsid w:val="008A58B3"/>
    <w:rsid w:val="008A6DFB"/>
    <w:rsid w:val="008B3076"/>
    <w:rsid w:val="008B4D80"/>
    <w:rsid w:val="008C0165"/>
    <w:rsid w:val="008C09D4"/>
    <w:rsid w:val="008C68D2"/>
    <w:rsid w:val="008C6A97"/>
    <w:rsid w:val="008C6BF7"/>
    <w:rsid w:val="008C7D58"/>
    <w:rsid w:val="008E6525"/>
    <w:rsid w:val="008F1F45"/>
    <w:rsid w:val="0090779D"/>
    <w:rsid w:val="00935BCF"/>
    <w:rsid w:val="00946DFD"/>
    <w:rsid w:val="009520A2"/>
    <w:rsid w:val="00955F5F"/>
    <w:rsid w:val="00961DDA"/>
    <w:rsid w:val="0097024C"/>
    <w:rsid w:val="0097059A"/>
    <w:rsid w:val="009841EA"/>
    <w:rsid w:val="00996269"/>
    <w:rsid w:val="009B777F"/>
    <w:rsid w:val="009D4365"/>
    <w:rsid w:val="009D56BD"/>
    <w:rsid w:val="009F7AE3"/>
    <w:rsid w:val="00A05FCF"/>
    <w:rsid w:val="00A077BD"/>
    <w:rsid w:val="00A14D58"/>
    <w:rsid w:val="00A16E71"/>
    <w:rsid w:val="00A17FCB"/>
    <w:rsid w:val="00A209F1"/>
    <w:rsid w:val="00A265F8"/>
    <w:rsid w:val="00A35B84"/>
    <w:rsid w:val="00A408C6"/>
    <w:rsid w:val="00A64784"/>
    <w:rsid w:val="00A65F3F"/>
    <w:rsid w:val="00A7306C"/>
    <w:rsid w:val="00A83E70"/>
    <w:rsid w:val="00A94010"/>
    <w:rsid w:val="00AB1A5C"/>
    <w:rsid w:val="00AB7943"/>
    <w:rsid w:val="00AC12F6"/>
    <w:rsid w:val="00AC7132"/>
    <w:rsid w:val="00AD4236"/>
    <w:rsid w:val="00AE0CE3"/>
    <w:rsid w:val="00AE1804"/>
    <w:rsid w:val="00AE2584"/>
    <w:rsid w:val="00AF30EC"/>
    <w:rsid w:val="00B149C1"/>
    <w:rsid w:val="00B23DE6"/>
    <w:rsid w:val="00B52239"/>
    <w:rsid w:val="00B62309"/>
    <w:rsid w:val="00B76658"/>
    <w:rsid w:val="00B97AE6"/>
    <w:rsid w:val="00BB2645"/>
    <w:rsid w:val="00BB617A"/>
    <w:rsid w:val="00BB7967"/>
    <w:rsid w:val="00BC3CCE"/>
    <w:rsid w:val="00BC4F89"/>
    <w:rsid w:val="00BD3AB9"/>
    <w:rsid w:val="00BD7296"/>
    <w:rsid w:val="00BD74F7"/>
    <w:rsid w:val="00BE2A6B"/>
    <w:rsid w:val="00BF17FA"/>
    <w:rsid w:val="00BF4F2B"/>
    <w:rsid w:val="00C02E2E"/>
    <w:rsid w:val="00C03275"/>
    <w:rsid w:val="00C2579F"/>
    <w:rsid w:val="00C4307C"/>
    <w:rsid w:val="00C43846"/>
    <w:rsid w:val="00C56F44"/>
    <w:rsid w:val="00C7269F"/>
    <w:rsid w:val="00CA3040"/>
    <w:rsid w:val="00CA6C85"/>
    <w:rsid w:val="00CA6E9F"/>
    <w:rsid w:val="00CB5694"/>
    <w:rsid w:val="00CB5DED"/>
    <w:rsid w:val="00CC65C8"/>
    <w:rsid w:val="00CE20C4"/>
    <w:rsid w:val="00CF2F86"/>
    <w:rsid w:val="00CF3A76"/>
    <w:rsid w:val="00D22D66"/>
    <w:rsid w:val="00D24B8B"/>
    <w:rsid w:val="00D33539"/>
    <w:rsid w:val="00D557C7"/>
    <w:rsid w:val="00D579A5"/>
    <w:rsid w:val="00D636F4"/>
    <w:rsid w:val="00D6401C"/>
    <w:rsid w:val="00D65DC7"/>
    <w:rsid w:val="00D80CD3"/>
    <w:rsid w:val="00D85750"/>
    <w:rsid w:val="00D9565A"/>
    <w:rsid w:val="00D95E11"/>
    <w:rsid w:val="00DA0349"/>
    <w:rsid w:val="00DA1C76"/>
    <w:rsid w:val="00DA1C87"/>
    <w:rsid w:val="00DA3259"/>
    <w:rsid w:val="00DB1345"/>
    <w:rsid w:val="00DB2A26"/>
    <w:rsid w:val="00DB38D8"/>
    <w:rsid w:val="00DC0053"/>
    <w:rsid w:val="00DC0D36"/>
    <w:rsid w:val="00DD0633"/>
    <w:rsid w:val="00DD4034"/>
    <w:rsid w:val="00DD4C01"/>
    <w:rsid w:val="00DE15F3"/>
    <w:rsid w:val="00E04901"/>
    <w:rsid w:val="00E10E19"/>
    <w:rsid w:val="00E11181"/>
    <w:rsid w:val="00E1247D"/>
    <w:rsid w:val="00E13304"/>
    <w:rsid w:val="00E21860"/>
    <w:rsid w:val="00E235D1"/>
    <w:rsid w:val="00E51860"/>
    <w:rsid w:val="00E5343A"/>
    <w:rsid w:val="00E55DE6"/>
    <w:rsid w:val="00E63866"/>
    <w:rsid w:val="00E90AFC"/>
    <w:rsid w:val="00E923AB"/>
    <w:rsid w:val="00E93156"/>
    <w:rsid w:val="00EC6B23"/>
    <w:rsid w:val="00EE4617"/>
    <w:rsid w:val="00EE6C36"/>
    <w:rsid w:val="00F03373"/>
    <w:rsid w:val="00F062B7"/>
    <w:rsid w:val="00F06AD0"/>
    <w:rsid w:val="00F120E4"/>
    <w:rsid w:val="00F220B3"/>
    <w:rsid w:val="00F251FA"/>
    <w:rsid w:val="00F33CAE"/>
    <w:rsid w:val="00F35824"/>
    <w:rsid w:val="00F412DA"/>
    <w:rsid w:val="00F413AE"/>
    <w:rsid w:val="00F50D35"/>
    <w:rsid w:val="00F6309B"/>
    <w:rsid w:val="00F673D1"/>
    <w:rsid w:val="00F679D7"/>
    <w:rsid w:val="00F70A55"/>
    <w:rsid w:val="00F70E10"/>
    <w:rsid w:val="00F76AFC"/>
    <w:rsid w:val="00F801E7"/>
    <w:rsid w:val="00F80613"/>
    <w:rsid w:val="00F848B0"/>
    <w:rsid w:val="00F91380"/>
    <w:rsid w:val="00F94A2C"/>
    <w:rsid w:val="00FA1850"/>
    <w:rsid w:val="00FA228C"/>
    <w:rsid w:val="00FA579E"/>
    <w:rsid w:val="00FB415B"/>
    <w:rsid w:val="00FB4EE7"/>
    <w:rsid w:val="00FF56C0"/>
    <w:rsid w:val="03FF4FA3"/>
    <w:rsid w:val="04663290"/>
    <w:rsid w:val="0730FC18"/>
    <w:rsid w:val="0783AD14"/>
    <w:rsid w:val="0A6E9127"/>
    <w:rsid w:val="0B2E3EC6"/>
    <w:rsid w:val="0CBDC7FE"/>
    <w:rsid w:val="1260DB52"/>
    <w:rsid w:val="128EE869"/>
    <w:rsid w:val="131075A3"/>
    <w:rsid w:val="15DC4413"/>
    <w:rsid w:val="192B2A5B"/>
    <w:rsid w:val="1A86AE2A"/>
    <w:rsid w:val="1F0C0AA7"/>
    <w:rsid w:val="1FB573AB"/>
    <w:rsid w:val="22F0E599"/>
    <w:rsid w:val="2386F50C"/>
    <w:rsid w:val="243DE516"/>
    <w:rsid w:val="24B79662"/>
    <w:rsid w:val="2670C667"/>
    <w:rsid w:val="27FF4451"/>
    <w:rsid w:val="2839AB27"/>
    <w:rsid w:val="28A29BF9"/>
    <w:rsid w:val="2A437401"/>
    <w:rsid w:val="2B41DAF8"/>
    <w:rsid w:val="2D028429"/>
    <w:rsid w:val="2D53188E"/>
    <w:rsid w:val="2D5F336C"/>
    <w:rsid w:val="2EEBFCF3"/>
    <w:rsid w:val="3050D1FA"/>
    <w:rsid w:val="30EE0BFC"/>
    <w:rsid w:val="30F5B33B"/>
    <w:rsid w:val="31E6AE0E"/>
    <w:rsid w:val="331CA06A"/>
    <w:rsid w:val="338872BC"/>
    <w:rsid w:val="34B491CF"/>
    <w:rsid w:val="34EB17EE"/>
    <w:rsid w:val="364A1B0C"/>
    <w:rsid w:val="37C22FC3"/>
    <w:rsid w:val="3AFC0452"/>
    <w:rsid w:val="3B46F1E3"/>
    <w:rsid w:val="3B8AC6CF"/>
    <w:rsid w:val="3D0BF0AC"/>
    <w:rsid w:val="3D2BA3B5"/>
    <w:rsid w:val="3EC52E8E"/>
    <w:rsid w:val="3F5C4BD1"/>
    <w:rsid w:val="4438CA26"/>
    <w:rsid w:val="45BD50B2"/>
    <w:rsid w:val="45BE788C"/>
    <w:rsid w:val="46CA021B"/>
    <w:rsid w:val="48318BCE"/>
    <w:rsid w:val="49A03944"/>
    <w:rsid w:val="4AC3FADC"/>
    <w:rsid w:val="4BF5E77A"/>
    <w:rsid w:val="4FBBE3C3"/>
    <w:rsid w:val="52D7DDEE"/>
    <w:rsid w:val="5341316A"/>
    <w:rsid w:val="5374418D"/>
    <w:rsid w:val="55DC89DC"/>
    <w:rsid w:val="572DED0F"/>
    <w:rsid w:val="5D2A76C8"/>
    <w:rsid w:val="608E9116"/>
    <w:rsid w:val="60ABCEB2"/>
    <w:rsid w:val="60B981BA"/>
    <w:rsid w:val="63DFB059"/>
    <w:rsid w:val="65837FF1"/>
    <w:rsid w:val="65EB7FE3"/>
    <w:rsid w:val="661D4D48"/>
    <w:rsid w:val="6B0502F3"/>
    <w:rsid w:val="6C34A24D"/>
    <w:rsid w:val="71D3A84D"/>
    <w:rsid w:val="720FFAE3"/>
    <w:rsid w:val="7392A2E7"/>
    <w:rsid w:val="7400109B"/>
    <w:rsid w:val="75A20F5E"/>
    <w:rsid w:val="76C75E03"/>
    <w:rsid w:val="77037D5B"/>
    <w:rsid w:val="779538DE"/>
    <w:rsid w:val="7805DF6D"/>
    <w:rsid w:val="7B59D1B3"/>
    <w:rsid w:val="7C0D661A"/>
    <w:rsid w:val="7C4303F3"/>
    <w:rsid w:val="7E7750FF"/>
    <w:rsid w:val="7EE4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4459"/>
  <w15:chartTrackingRefBased/>
  <w15:docId w15:val="{B2E16FA0-F72A-4F85-BCE4-CBA8880C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E"/>
    <w:pPr>
      <w:adjustRightInd w:val="0"/>
      <w:snapToGrid w:val="0"/>
      <w:spacing w:before="180" w:line="300" w:lineRule="exact"/>
    </w:pPr>
    <w:rPr>
      <w:rFonts w:ascii="Calibri" w:hAnsi="Calibri"/>
      <w:color w:val="454545" w:themeColor="text2"/>
      <w:sz w:val="20"/>
    </w:rPr>
  </w:style>
  <w:style w:type="paragraph" w:styleId="Heading1">
    <w:name w:val="heading 1"/>
    <w:basedOn w:val="Normal"/>
    <w:next w:val="Normal"/>
    <w:link w:val="Heading1Char"/>
    <w:uiPriority w:val="9"/>
    <w:qFormat/>
    <w:rsid w:val="00685EA0"/>
    <w:pPr>
      <w:keepNext/>
      <w:keepLines/>
      <w:spacing w:before="240" w:after="360" w:line="600" w:lineRule="exact"/>
      <w:outlineLvl w:val="0"/>
    </w:pPr>
    <w:rPr>
      <w:rFonts w:eastAsiaTheme="majorEastAsia" w:cstheme="majorBidi"/>
      <w:b/>
      <w:color w:val="F47720" w:themeColor="accent6"/>
      <w:sz w:val="50"/>
      <w:szCs w:val="26"/>
    </w:rPr>
  </w:style>
  <w:style w:type="paragraph" w:styleId="Heading2">
    <w:name w:val="heading 2"/>
    <w:basedOn w:val="Heading1"/>
    <w:next w:val="Normal"/>
    <w:link w:val="Heading2Char"/>
    <w:uiPriority w:val="9"/>
    <w:unhideWhenUsed/>
    <w:qFormat/>
    <w:rsid w:val="00685EA0"/>
    <w:pPr>
      <w:spacing w:line="500" w:lineRule="exact"/>
      <w:outlineLvl w:val="1"/>
    </w:pPr>
    <w:rPr>
      <w:sz w:val="40"/>
    </w:rPr>
  </w:style>
  <w:style w:type="paragraph" w:styleId="Heading3">
    <w:name w:val="heading 3"/>
    <w:basedOn w:val="Heading2"/>
    <w:next w:val="Normal"/>
    <w:link w:val="Heading3Char"/>
    <w:uiPriority w:val="9"/>
    <w:unhideWhenUsed/>
    <w:qFormat/>
    <w:rsid w:val="00685EA0"/>
    <w:pPr>
      <w:spacing w:before="360" w:after="0" w:line="280" w:lineRule="exact"/>
      <w:outlineLvl w:val="2"/>
    </w:pPr>
    <w:rPr>
      <w:color w:val="00548A" w:themeColor="accent1"/>
      <w:sz w:val="30"/>
    </w:rPr>
  </w:style>
  <w:style w:type="paragraph" w:styleId="Heading4">
    <w:name w:val="heading 4"/>
    <w:basedOn w:val="Heading3"/>
    <w:next w:val="Normal"/>
    <w:link w:val="Heading4Char"/>
    <w:uiPriority w:val="9"/>
    <w:unhideWhenUsed/>
    <w:qFormat/>
    <w:rsid w:val="00685EA0"/>
    <w:pPr>
      <w:spacing w:line="260" w:lineRule="exact"/>
      <w:outlineLvl w:val="3"/>
    </w:pPr>
    <w:rPr>
      <w:sz w:val="22"/>
    </w:rPr>
  </w:style>
  <w:style w:type="paragraph" w:styleId="Heading5">
    <w:name w:val="heading 5"/>
    <w:basedOn w:val="Heading4"/>
    <w:next w:val="Normal"/>
    <w:link w:val="Heading5Char"/>
    <w:uiPriority w:val="9"/>
    <w:unhideWhenUsed/>
    <w:qFormat/>
    <w:rsid w:val="00685EA0"/>
    <w:pPr>
      <w:outlineLvl w:val="4"/>
    </w:pPr>
    <w:rPr>
      <w:rFonts w:ascii="Proxima Nova" w:hAnsi="Proxima Nova"/>
      <w:color w:val="00A2D9" w:themeColor="accent2"/>
      <w:sz w:val="18"/>
    </w:rPr>
  </w:style>
  <w:style w:type="paragraph" w:styleId="Heading6">
    <w:name w:val="heading 6"/>
    <w:basedOn w:val="Heading5"/>
    <w:next w:val="Normal"/>
    <w:link w:val="Heading6Char"/>
    <w:uiPriority w:val="9"/>
    <w:unhideWhenUsed/>
    <w:qFormat/>
    <w:rsid w:val="00685EA0"/>
    <w:pPr>
      <w:pBdr>
        <w:bottom w:val="single" w:sz="4" w:space="6" w:color="auto"/>
      </w:pBdr>
      <w:outlineLvl w:val="5"/>
    </w:pPr>
    <w:rPr>
      <w:color w:val="454545" w:themeColor="text2"/>
    </w:rPr>
  </w:style>
  <w:style w:type="paragraph" w:styleId="Heading7">
    <w:name w:val="heading 7"/>
    <w:basedOn w:val="Normal"/>
    <w:next w:val="Normal"/>
    <w:link w:val="Heading7Char"/>
    <w:uiPriority w:val="9"/>
    <w:semiHidden/>
    <w:unhideWhenUsed/>
    <w:qFormat/>
    <w:rsid w:val="00685EA0"/>
    <w:pPr>
      <w:keepNext/>
      <w:keepLines/>
      <w:spacing w:before="40"/>
      <w:outlineLvl w:val="6"/>
    </w:pPr>
    <w:rPr>
      <w:rFonts w:asciiTheme="majorHAnsi" w:eastAsiaTheme="majorEastAsia" w:hAnsiTheme="majorHAnsi" w:cstheme="majorBidi"/>
      <w:i/>
      <w:iCs/>
      <w:color w:val="002944" w:themeColor="accent1" w:themeShade="7F"/>
    </w:rPr>
  </w:style>
  <w:style w:type="paragraph" w:styleId="Heading8">
    <w:name w:val="heading 8"/>
    <w:basedOn w:val="Normal"/>
    <w:next w:val="Normal"/>
    <w:link w:val="Heading8Char"/>
    <w:uiPriority w:val="9"/>
    <w:semiHidden/>
    <w:unhideWhenUsed/>
    <w:qFormat/>
    <w:rsid w:val="00685EA0"/>
    <w:pPr>
      <w:keepNext/>
      <w:keepLines/>
      <w:spacing w:before="40"/>
      <w:outlineLvl w:val="7"/>
    </w:pPr>
    <w:rPr>
      <w:rFonts w:asciiTheme="majorHAnsi" w:eastAsiaTheme="majorEastAsia" w:hAnsiTheme="majorHAnsi" w:cstheme="majorBidi"/>
      <w:color w:val="446469" w:themeColor="text1" w:themeTint="D8"/>
      <w:sz w:val="21"/>
      <w:szCs w:val="21"/>
    </w:rPr>
  </w:style>
  <w:style w:type="paragraph" w:styleId="Heading9">
    <w:name w:val="heading 9"/>
    <w:basedOn w:val="Normal"/>
    <w:next w:val="Normal"/>
    <w:link w:val="Heading9Char"/>
    <w:uiPriority w:val="9"/>
    <w:semiHidden/>
    <w:unhideWhenUsed/>
    <w:qFormat/>
    <w:rsid w:val="00685EA0"/>
    <w:pPr>
      <w:keepNext/>
      <w:keepLines/>
      <w:spacing w:before="40"/>
      <w:outlineLvl w:val="8"/>
    </w:pPr>
    <w:rPr>
      <w:rFonts w:asciiTheme="majorHAnsi" w:eastAsiaTheme="majorEastAsia" w:hAnsiTheme="majorHAnsi" w:cstheme="majorBidi"/>
      <w:i/>
      <w:iCs/>
      <w:color w:val="44646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BodyCopy">
    <w:name w:val="San Body Copy"/>
    <w:basedOn w:val="Normal"/>
    <w:uiPriority w:val="99"/>
    <w:rsid w:val="00354BB7"/>
    <w:pPr>
      <w:tabs>
        <w:tab w:val="right" w:pos="520"/>
        <w:tab w:val="left" w:pos="720"/>
      </w:tabs>
      <w:autoSpaceDE w:val="0"/>
      <w:autoSpaceDN w:val="0"/>
      <w:snapToGrid/>
      <w:spacing w:after="160" w:line="260" w:lineRule="atLeast"/>
      <w:ind w:left="720" w:hanging="720"/>
      <w:textAlignment w:val="center"/>
    </w:pPr>
    <w:rPr>
      <w:rFonts w:ascii="ProximaNova-Regular" w:hAnsi="ProximaNova-Regular" w:cs="ProximaNova-Regular"/>
      <w:color w:val="000A23"/>
      <w:sz w:val="17"/>
      <w:szCs w:val="17"/>
    </w:rPr>
  </w:style>
  <w:style w:type="paragraph" w:customStyle="1" w:styleId="Subhead">
    <w:name w:val="Subhead"/>
    <w:basedOn w:val="SanBodyCopy"/>
    <w:uiPriority w:val="99"/>
    <w:rsid w:val="00354BB7"/>
    <w:pPr>
      <w:spacing w:after="120"/>
      <w:ind w:left="0" w:firstLine="0"/>
    </w:pPr>
    <w:rPr>
      <w:rFonts w:ascii="ProximaNova-Bold" w:hAnsi="ProximaNova-Bold" w:cs="ProximaNova-Bold"/>
      <w:b/>
      <w:bCs/>
      <w:color w:val="0030AD"/>
      <w:sz w:val="22"/>
      <w:szCs w:val="22"/>
    </w:rPr>
  </w:style>
  <w:style w:type="paragraph" w:customStyle="1" w:styleId="bullets">
    <w:name w:val="bullets"/>
    <w:basedOn w:val="SanBodyCopy"/>
    <w:uiPriority w:val="99"/>
    <w:rsid w:val="00946DFD"/>
    <w:pPr>
      <w:tabs>
        <w:tab w:val="clear" w:pos="520"/>
        <w:tab w:val="clear" w:pos="720"/>
        <w:tab w:val="left" w:pos="180"/>
      </w:tabs>
      <w:spacing w:before="0" w:after="80"/>
      <w:ind w:left="180" w:hanging="180"/>
    </w:pPr>
  </w:style>
  <w:style w:type="paragraph" w:customStyle="1" w:styleId="bulletslast">
    <w:name w:val="bullets last"/>
    <w:basedOn w:val="bullets"/>
    <w:uiPriority w:val="99"/>
    <w:rsid w:val="00946DFD"/>
    <w:pPr>
      <w:spacing w:after="180"/>
    </w:pPr>
  </w:style>
  <w:style w:type="character" w:customStyle="1" w:styleId="Heading1Char">
    <w:name w:val="Heading 1 Char"/>
    <w:basedOn w:val="DefaultParagraphFont"/>
    <w:link w:val="Heading1"/>
    <w:uiPriority w:val="9"/>
    <w:rsid w:val="00685EA0"/>
    <w:rPr>
      <w:rFonts w:ascii="Calibri" w:eastAsiaTheme="majorEastAsia" w:hAnsi="Calibri" w:cstheme="majorBidi"/>
      <w:b/>
      <w:color w:val="F47720" w:themeColor="accent6"/>
      <w:sz w:val="50"/>
      <w:szCs w:val="26"/>
    </w:rPr>
  </w:style>
  <w:style w:type="character" w:customStyle="1" w:styleId="Heading2Char">
    <w:name w:val="Heading 2 Char"/>
    <w:basedOn w:val="DefaultParagraphFont"/>
    <w:link w:val="Heading2"/>
    <w:uiPriority w:val="9"/>
    <w:rsid w:val="00685EA0"/>
    <w:rPr>
      <w:rFonts w:ascii="Calibri" w:eastAsiaTheme="majorEastAsia" w:hAnsi="Calibri" w:cstheme="majorBidi"/>
      <w:b/>
      <w:color w:val="F47720" w:themeColor="accent6"/>
      <w:sz w:val="40"/>
      <w:szCs w:val="26"/>
    </w:rPr>
  </w:style>
  <w:style w:type="character" w:customStyle="1" w:styleId="Heading3Char">
    <w:name w:val="Heading 3 Char"/>
    <w:basedOn w:val="DefaultParagraphFont"/>
    <w:link w:val="Heading3"/>
    <w:uiPriority w:val="9"/>
    <w:rsid w:val="00685EA0"/>
    <w:rPr>
      <w:rFonts w:ascii="Calibri" w:eastAsiaTheme="majorEastAsia" w:hAnsi="Calibri" w:cstheme="majorBidi"/>
      <w:b/>
      <w:color w:val="00548A" w:themeColor="accent1"/>
      <w:sz w:val="30"/>
      <w:szCs w:val="26"/>
    </w:rPr>
  </w:style>
  <w:style w:type="paragraph" w:styleId="ListBullet">
    <w:name w:val="List Bullet"/>
    <w:basedOn w:val="Normal"/>
    <w:uiPriority w:val="99"/>
    <w:unhideWhenUsed/>
    <w:rsid w:val="00373C51"/>
    <w:pPr>
      <w:numPr>
        <w:numId w:val="10"/>
      </w:numPr>
      <w:spacing w:before="80"/>
      <w:ind w:left="288" w:hanging="288"/>
    </w:pPr>
  </w:style>
  <w:style w:type="paragraph" w:styleId="ListContinue">
    <w:name w:val="List Continue"/>
    <w:basedOn w:val="ListBullet"/>
    <w:uiPriority w:val="99"/>
    <w:unhideWhenUsed/>
    <w:rsid w:val="00946DFD"/>
    <w:pPr>
      <w:spacing w:before="120"/>
    </w:pPr>
  </w:style>
  <w:style w:type="paragraph" w:styleId="Title">
    <w:name w:val="Title"/>
    <w:basedOn w:val="Heading1"/>
    <w:next w:val="Normal"/>
    <w:link w:val="TitleChar"/>
    <w:uiPriority w:val="10"/>
    <w:qFormat/>
    <w:rsid w:val="00685EA0"/>
    <w:pPr>
      <w:spacing w:after="960" w:line="800" w:lineRule="exact"/>
    </w:pPr>
    <w:rPr>
      <w:color w:val="454545" w:themeColor="text2"/>
      <w:sz w:val="80"/>
    </w:rPr>
  </w:style>
  <w:style w:type="character" w:customStyle="1" w:styleId="TitleChar">
    <w:name w:val="Title Char"/>
    <w:basedOn w:val="DefaultParagraphFont"/>
    <w:link w:val="Title"/>
    <w:uiPriority w:val="10"/>
    <w:rsid w:val="00685EA0"/>
    <w:rPr>
      <w:rFonts w:ascii="Calibri" w:eastAsiaTheme="majorEastAsia" w:hAnsi="Calibri" w:cstheme="majorBidi"/>
      <w:b/>
      <w:color w:val="454545" w:themeColor="text2"/>
      <w:sz w:val="80"/>
      <w:szCs w:val="26"/>
    </w:rPr>
  </w:style>
  <w:style w:type="paragraph" w:styleId="Subtitle">
    <w:name w:val="Subtitle"/>
    <w:basedOn w:val="Normal"/>
    <w:next w:val="Normal"/>
    <w:link w:val="SubtitleChar"/>
    <w:uiPriority w:val="11"/>
    <w:qFormat/>
    <w:rsid w:val="00685EA0"/>
    <w:pPr>
      <w:numPr>
        <w:ilvl w:val="1"/>
      </w:numPr>
      <w:spacing w:after="160" w:line="400" w:lineRule="exact"/>
    </w:pPr>
    <w:rPr>
      <w:rFonts w:ascii="Bodoni MT" w:eastAsiaTheme="minorEastAsia" w:hAnsi="Bodoni MT" w:cs="Times New Roman (Body CS)"/>
      <w:sz w:val="30"/>
      <w:szCs w:val="30"/>
    </w:rPr>
  </w:style>
  <w:style w:type="character" w:customStyle="1" w:styleId="SubtitleChar">
    <w:name w:val="Subtitle Char"/>
    <w:basedOn w:val="DefaultParagraphFont"/>
    <w:link w:val="Subtitle"/>
    <w:uiPriority w:val="11"/>
    <w:rsid w:val="00685EA0"/>
    <w:rPr>
      <w:rFonts w:ascii="Bodoni MT" w:eastAsiaTheme="minorEastAsia" w:hAnsi="Bodoni MT" w:cs="Times New Roman (Body CS)"/>
      <w:color w:val="454545" w:themeColor="text2"/>
      <w:sz w:val="30"/>
      <w:szCs w:val="30"/>
    </w:rPr>
  </w:style>
  <w:style w:type="character" w:customStyle="1" w:styleId="Heading4Char">
    <w:name w:val="Heading 4 Char"/>
    <w:basedOn w:val="DefaultParagraphFont"/>
    <w:link w:val="Heading4"/>
    <w:uiPriority w:val="9"/>
    <w:rsid w:val="00685EA0"/>
    <w:rPr>
      <w:rFonts w:ascii="Calibri" w:eastAsiaTheme="majorEastAsia" w:hAnsi="Calibri" w:cstheme="majorBidi"/>
      <w:b/>
      <w:color w:val="00548A" w:themeColor="accent1"/>
      <w:sz w:val="22"/>
      <w:szCs w:val="26"/>
    </w:rPr>
  </w:style>
  <w:style w:type="paragraph" w:styleId="ListBullet2">
    <w:name w:val="List Bullet 2"/>
    <w:basedOn w:val="Normal"/>
    <w:uiPriority w:val="99"/>
    <w:unhideWhenUsed/>
    <w:rsid w:val="000A3456"/>
    <w:pPr>
      <w:numPr>
        <w:numId w:val="9"/>
      </w:numPr>
      <w:spacing w:before="120"/>
      <w:ind w:left="648" w:hanging="288"/>
    </w:pPr>
  </w:style>
  <w:style w:type="table" w:styleId="TableGrid">
    <w:name w:val="Table Grid"/>
    <w:basedOn w:val="TableNormal"/>
    <w:uiPriority w:val="39"/>
    <w:rsid w:val="000A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A34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A34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BB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BB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BB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BB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FGTABLE">
    <w:name w:val="TFG TABLE"/>
    <w:basedOn w:val="TableNormal"/>
    <w:uiPriority w:val="99"/>
    <w:rsid w:val="00E21860"/>
    <w:pPr>
      <w:adjustRightInd w:val="0"/>
      <w:snapToGrid w:val="0"/>
      <w:spacing w:line="260" w:lineRule="exact"/>
    </w:pPr>
    <w:rPr>
      <w:rFonts w:ascii="Proxima Nova" w:hAnsi="Proxima Nova"/>
      <w:sz w:val="18"/>
    </w:rPr>
    <w:tblPr>
      <w:tblStyleRowBandSize w:val="1"/>
      <w:tblStyleColBandSize w:val="1"/>
      <w:tblBorders>
        <w:bottom w:val="single" w:sz="4" w:space="0" w:color="454545" w:themeColor="text2"/>
        <w:insideH w:val="single" w:sz="4" w:space="0" w:color="454545" w:themeColor="text2"/>
      </w:tblBorders>
      <w:tblCellMar>
        <w:top w:w="72" w:type="dxa"/>
        <w:left w:w="115" w:type="dxa"/>
        <w:bottom w:w="72" w:type="dxa"/>
        <w:right w:w="115" w:type="dxa"/>
      </w:tblCellMar>
    </w:tblPr>
    <w:trPr>
      <w:cantSplit/>
    </w:trPr>
    <w:tcPr>
      <w:shd w:val="clear" w:color="auto" w:fill="auto"/>
      <w:vAlign w:val="center"/>
    </w:tcPr>
    <w:tblStylePr w:type="firstRow">
      <w:pPr>
        <w:jc w:val="left"/>
      </w:pPr>
      <w:rPr>
        <w:rFonts w:ascii="Proxima Nova" w:hAnsi="Proxima Nova"/>
        <w:b/>
        <w:i w:val="0"/>
        <w:color w:val="FFFFFF" w:themeColor="background1"/>
        <w:sz w:val="18"/>
      </w:rPr>
      <w:tblPr/>
      <w:tcPr>
        <w:shd w:val="clear" w:color="auto" w:fill="454545" w:themeFill="text2"/>
      </w:tcPr>
    </w:tblStylePr>
    <w:tblStylePr w:type="band1Horz">
      <w:tblPr/>
      <w:tcPr>
        <w:shd w:val="clear" w:color="auto" w:fill="auto"/>
      </w:tcPr>
    </w:tblStylePr>
    <w:tblStylePr w:type="band2Horz">
      <w:tblPr/>
      <w:tcPr>
        <w:shd w:val="clear" w:color="auto" w:fill="auto"/>
      </w:tcPr>
    </w:tblStylePr>
  </w:style>
  <w:style w:type="paragraph" w:customStyle="1" w:styleId="TableHeaderRow">
    <w:name w:val="Table Header Row"/>
    <w:basedOn w:val="Normal"/>
    <w:qFormat/>
    <w:rsid w:val="00685EA0"/>
    <w:pPr>
      <w:spacing w:before="0" w:line="240" w:lineRule="exact"/>
    </w:pPr>
    <w:rPr>
      <w:b/>
      <w:color w:val="FFFFFF" w:themeColor="background1"/>
      <w:sz w:val="16"/>
    </w:rPr>
  </w:style>
  <w:style w:type="paragraph" w:customStyle="1" w:styleId="TableBodyRow">
    <w:name w:val="Table Body Row"/>
    <w:basedOn w:val="Normal"/>
    <w:qFormat/>
    <w:rsid w:val="00685EA0"/>
    <w:pPr>
      <w:spacing w:before="0" w:line="240" w:lineRule="exact"/>
    </w:pPr>
    <w:rPr>
      <w:sz w:val="16"/>
    </w:rPr>
  </w:style>
  <w:style w:type="character" w:customStyle="1" w:styleId="Heading5Char">
    <w:name w:val="Heading 5 Char"/>
    <w:basedOn w:val="DefaultParagraphFont"/>
    <w:link w:val="Heading5"/>
    <w:uiPriority w:val="9"/>
    <w:rsid w:val="00685EA0"/>
    <w:rPr>
      <w:rFonts w:ascii="Proxima Nova" w:eastAsiaTheme="majorEastAsia" w:hAnsi="Proxima Nova" w:cstheme="majorBidi"/>
      <w:b/>
      <w:color w:val="00A2D9" w:themeColor="accent2"/>
      <w:sz w:val="18"/>
      <w:szCs w:val="26"/>
    </w:rPr>
  </w:style>
  <w:style w:type="character" w:customStyle="1" w:styleId="Heading6Char">
    <w:name w:val="Heading 6 Char"/>
    <w:basedOn w:val="DefaultParagraphFont"/>
    <w:link w:val="Heading6"/>
    <w:uiPriority w:val="9"/>
    <w:rsid w:val="00685EA0"/>
    <w:rPr>
      <w:rFonts w:ascii="Proxima Nova" w:eastAsiaTheme="majorEastAsia" w:hAnsi="Proxima Nova" w:cstheme="majorBidi"/>
      <w:b/>
      <w:color w:val="454545" w:themeColor="text2"/>
      <w:sz w:val="18"/>
      <w:szCs w:val="26"/>
    </w:rPr>
  </w:style>
  <w:style w:type="paragraph" w:styleId="Header">
    <w:name w:val="header"/>
    <w:basedOn w:val="Normal"/>
    <w:link w:val="HeaderChar"/>
    <w:uiPriority w:val="99"/>
    <w:unhideWhenUsed/>
    <w:rsid w:val="003C56A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C56AA"/>
    <w:rPr>
      <w:rFonts w:ascii="Proxima Nova" w:hAnsi="Proxima Nova"/>
      <w:color w:val="454545" w:themeColor="text2"/>
      <w:sz w:val="18"/>
    </w:rPr>
  </w:style>
  <w:style w:type="paragraph" w:styleId="Footer">
    <w:name w:val="footer"/>
    <w:basedOn w:val="Normal"/>
    <w:link w:val="FooterChar"/>
    <w:uiPriority w:val="99"/>
    <w:unhideWhenUsed/>
    <w:rsid w:val="003C56A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56AA"/>
    <w:rPr>
      <w:rFonts w:ascii="Proxima Nova" w:hAnsi="Proxima Nova"/>
      <w:color w:val="454545" w:themeColor="text2"/>
      <w:sz w:val="18"/>
    </w:rPr>
  </w:style>
  <w:style w:type="paragraph" w:customStyle="1" w:styleId="GrantType">
    <w:name w:val="Grant Type"/>
    <w:basedOn w:val="TableBodyRow"/>
    <w:qFormat/>
    <w:rsid w:val="00685EA0"/>
    <w:pPr>
      <w:spacing w:line="360" w:lineRule="exact"/>
      <w:jc w:val="right"/>
    </w:pPr>
    <w:rPr>
      <w:b/>
      <w:sz w:val="30"/>
    </w:rPr>
  </w:style>
  <w:style w:type="character" w:styleId="PageNumber">
    <w:name w:val="page number"/>
    <w:basedOn w:val="DefaultParagraphFont"/>
    <w:uiPriority w:val="99"/>
    <w:semiHidden/>
    <w:unhideWhenUsed/>
    <w:rsid w:val="00F03373"/>
  </w:style>
  <w:style w:type="paragraph" w:styleId="TOC1">
    <w:name w:val="toc 1"/>
    <w:basedOn w:val="Normal"/>
    <w:next w:val="Normal"/>
    <w:autoRedefine/>
    <w:uiPriority w:val="39"/>
    <w:unhideWhenUsed/>
    <w:rsid w:val="00BB7967"/>
    <w:pPr>
      <w:tabs>
        <w:tab w:val="right" w:pos="8990"/>
      </w:tabs>
      <w:spacing w:before="240" w:after="120"/>
    </w:pPr>
    <w:rPr>
      <w:b/>
      <w:bCs/>
      <w:sz w:val="24"/>
      <w:szCs w:val="20"/>
    </w:rPr>
  </w:style>
  <w:style w:type="paragraph" w:styleId="TOC2">
    <w:name w:val="toc 2"/>
    <w:basedOn w:val="Normal"/>
    <w:next w:val="Normal"/>
    <w:autoRedefine/>
    <w:uiPriority w:val="39"/>
    <w:unhideWhenUsed/>
    <w:rsid w:val="00BB7967"/>
    <w:pPr>
      <w:tabs>
        <w:tab w:val="right" w:leader="dot" w:pos="9000"/>
      </w:tabs>
      <w:spacing w:before="360"/>
      <w:ind w:left="187"/>
    </w:pPr>
    <w:rPr>
      <w:b/>
      <w:iCs/>
      <w:szCs w:val="20"/>
    </w:rPr>
  </w:style>
  <w:style w:type="paragraph" w:styleId="TOC3">
    <w:name w:val="toc 3"/>
    <w:basedOn w:val="Normal"/>
    <w:next w:val="Normal"/>
    <w:autoRedefine/>
    <w:uiPriority w:val="39"/>
    <w:unhideWhenUsed/>
    <w:rsid w:val="00737ECA"/>
    <w:pPr>
      <w:tabs>
        <w:tab w:val="right" w:pos="8990"/>
      </w:tabs>
      <w:spacing w:before="360"/>
      <w:ind w:left="360"/>
    </w:pPr>
    <w:rPr>
      <w:szCs w:val="20"/>
    </w:rPr>
  </w:style>
  <w:style w:type="paragraph" w:styleId="TOC4">
    <w:name w:val="toc 4"/>
    <w:basedOn w:val="Normal"/>
    <w:next w:val="Normal"/>
    <w:autoRedefine/>
    <w:uiPriority w:val="39"/>
    <w:unhideWhenUsed/>
    <w:rsid w:val="005B141C"/>
    <w:pPr>
      <w:spacing w:before="0"/>
      <w:ind w:left="540"/>
    </w:pPr>
    <w:rPr>
      <w:rFonts w:asciiTheme="minorHAnsi" w:hAnsiTheme="minorHAnsi"/>
      <w:szCs w:val="20"/>
    </w:rPr>
  </w:style>
  <w:style w:type="paragraph" w:styleId="TOC5">
    <w:name w:val="toc 5"/>
    <w:basedOn w:val="Normal"/>
    <w:next w:val="Normal"/>
    <w:autoRedefine/>
    <w:uiPriority w:val="39"/>
    <w:unhideWhenUsed/>
    <w:rsid w:val="005B141C"/>
    <w:pPr>
      <w:spacing w:before="0"/>
      <w:ind w:left="720"/>
    </w:pPr>
    <w:rPr>
      <w:rFonts w:asciiTheme="minorHAnsi" w:hAnsiTheme="minorHAnsi"/>
      <w:szCs w:val="20"/>
    </w:rPr>
  </w:style>
  <w:style w:type="paragraph" w:styleId="TOC6">
    <w:name w:val="toc 6"/>
    <w:basedOn w:val="Normal"/>
    <w:next w:val="Normal"/>
    <w:autoRedefine/>
    <w:uiPriority w:val="39"/>
    <w:unhideWhenUsed/>
    <w:rsid w:val="005B141C"/>
    <w:pPr>
      <w:spacing w:before="0"/>
      <w:ind w:left="900"/>
    </w:pPr>
    <w:rPr>
      <w:rFonts w:asciiTheme="minorHAnsi" w:hAnsiTheme="minorHAnsi"/>
      <w:szCs w:val="20"/>
    </w:rPr>
  </w:style>
  <w:style w:type="paragraph" w:styleId="TOC7">
    <w:name w:val="toc 7"/>
    <w:basedOn w:val="Normal"/>
    <w:next w:val="Normal"/>
    <w:autoRedefine/>
    <w:uiPriority w:val="39"/>
    <w:unhideWhenUsed/>
    <w:rsid w:val="005B141C"/>
    <w:pPr>
      <w:spacing w:before="0"/>
      <w:ind w:left="1080"/>
    </w:pPr>
    <w:rPr>
      <w:rFonts w:asciiTheme="minorHAnsi" w:hAnsiTheme="minorHAnsi"/>
      <w:szCs w:val="20"/>
    </w:rPr>
  </w:style>
  <w:style w:type="paragraph" w:styleId="TOC8">
    <w:name w:val="toc 8"/>
    <w:basedOn w:val="Normal"/>
    <w:next w:val="Normal"/>
    <w:autoRedefine/>
    <w:uiPriority w:val="39"/>
    <w:unhideWhenUsed/>
    <w:rsid w:val="005B141C"/>
    <w:pPr>
      <w:spacing w:before="0"/>
      <w:ind w:left="1260"/>
    </w:pPr>
    <w:rPr>
      <w:rFonts w:asciiTheme="minorHAnsi" w:hAnsiTheme="minorHAnsi"/>
      <w:szCs w:val="20"/>
    </w:rPr>
  </w:style>
  <w:style w:type="paragraph" w:styleId="TOC9">
    <w:name w:val="toc 9"/>
    <w:basedOn w:val="Normal"/>
    <w:next w:val="Normal"/>
    <w:autoRedefine/>
    <w:uiPriority w:val="39"/>
    <w:unhideWhenUsed/>
    <w:rsid w:val="005B141C"/>
    <w:pPr>
      <w:spacing w:before="0"/>
      <w:ind w:left="1440"/>
    </w:pPr>
    <w:rPr>
      <w:rFonts w:asciiTheme="minorHAnsi" w:hAnsiTheme="minorHAnsi"/>
      <w:szCs w:val="20"/>
    </w:rPr>
  </w:style>
  <w:style w:type="paragraph" w:styleId="ListParagraph">
    <w:name w:val="List Paragraph"/>
    <w:basedOn w:val="Normal"/>
    <w:uiPriority w:val="34"/>
    <w:qFormat/>
    <w:rsid w:val="00685EA0"/>
    <w:pPr>
      <w:ind w:left="720"/>
      <w:contextualSpacing/>
    </w:pPr>
  </w:style>
  <w:style w:type="character" w:styleId="Hyperlink">
    <w:name w:val="Hyperlink"/>
    <w:basedOn w:val="DefaultParagraphFont"/>
    <w:uiPriority w:val="99"/>
    <w:unhideWhenUsed/>
    <w:rsid w:val="008A58B3"/>
    <w:rPr>
      <w:rFonts w:ascii="Calibri" w:hAnsi="Calibri"/>
      <w:color w:val="00A1D9" w:themeColor="hyperlink"/>
      <w:sz w:val="18"/>
      <w:u w:val="single"/>
    </w:rPr>
  </w:style>
  <w:style w:type="table" w:styleId="LightGrid-Accent4">
    <w:name w:val="Light Grid Accent 4"/>
    <w:basedOn w:val="TableNormal"/>
    <w:uiPriority w:val="62"/>
    <w:rsid w:val="00E10E19"/>
    <w:rPr>
      <w:sz w:val="21"/>
      <w:szCs w:val="21"/>
    </w:rPr>
    <w:tblPr>
      <w:tblStyleRowBandSize w:val="1"/>
      <w:tblStyleColBandSize w:val="1"/>
      <w:tblBorders>
        <w:top w:val="single" w:sz="8" w:space="0" w:color="9D0441" w:themeColor="accent4"/>
        <w:left w:val="single" w:sz="8" w:space="0" w:color="9D0441" w:themeColor="accent4"/>
        <w:bottom w:val="single" w:sz="8" w:space="0" w:color="9D0441" w:themeColor="accent4"/>
        <w:right w:val="single" w:sz="8" w:space="0" w:color="9D0441" w:themeColor="accent4"/>
        <w:insideH w:val="single" w:sz="8" w:space="0" w:color="9D0441" w:themeColor="accent4"/>
        <w:insideV w:val="single" w:sz="8" w:space="0" w:color="9D04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0441" w:themeColor="accent4"/>
          <w:left w:val="single" w:sz="8" w:space="0" w:color="9D0441" w:themeColor="accent4"/>
          <w:bottom w:val="single" w:sz="18" w:space="0" w:color="9D0441" w:themeColor="accent4"/>
          <w:right w:val="single" w:sz="8" w:space="0" w:color="9D0441" w:themeColor="accent4"/>
          <w:insideH w:val="nil"/>
          <w:insideV w:val="single" w:sz="8" w:space="0" w:color="9D04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0441" w:themeColor="accent4"/>
          <w:left w:val="single" w:sz="8" w:space="0" w:color="9D0441" w:themeColor="accent4"/>
          <w:bottom w:val="single" w:sz="8" w:space="0" w:color="9D0441" w:themeColor="accent4"/>
          <w:right w:val="single" w:sz="8" w:space="0" w:color="9D0441" w:themeColor="accent4"/>
          <w:insideH w:val="nil"/>
          <w:insideV w:val="single" w:sz="8" w:space="0" w:color="9D04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0441" w:themeColor="accent4"/>
          <w:left w:val="single" w:sz="8" w:space="0" w:color="9D0441" w:themeColor="accent4"/>
          <w:bottom w:val="single" w:sz="8" w:space="0" w:color="9D0441" w:themeColor="accent4"/>
          <w:right w:val="single" w:sz="8" w:space="0" w:color="9D0441" w:themeColor="accent4"/>
        </w:tcBorders>
      </w:tcPr>
    </w:tblStylePr>
    <w:tblStylePr w:type="band1Vert">
      <w:tblPr/>
      <w:tcPr>
        <w:tcBorders>
          <w:top w:val="single" w:sz="8" w:space="0" w:color="9D0441" w:themeColor="accent4"/>
          <w:left w:val="single" w:sz="8" w:space="0" w:color="9D0441" w:themeColor="accent4"/>
          <w:bottom w:val="single" w:sz="8" w:space="0" w:color="9D0441" w:themeColor="accent4"/>
          <w:right w:val="single" w:sz="8" w:space="0" w:color="9D0441" w:themeColor="accent4"/>
        </w:tcBorders>
        <w:shd w:val="clear" w:color="auto" w:fill="FCAACB" w:themeFill="accent4" w:themeFillTint="3F"/>
      </w:tcPr>
    </w:tblStylePr>
    <w:tblStylePr w:type="band1Horz">
      <w:tblPr/>
      <w:tcPr>
        <w:tcBorders>
          <w:top w:val="single" w:sz="8" w:space="0" w:color="9D0441" w:themeColor="accent4"/>
          <w:left w:val="single" w:sz="8" w:space="0" w:color="9D0441" w:themeColor="accent4"/>
          <w:bottom w:val="single" w:sz="8" w:space="0" w:color="9D0441" w:themeColor="accent4"/>
          <w:right w:val="single" w:sz="8" w:space="0" w:color="9D0441" w:themeColor="accent4"/>
          <w:insideV w:val="single" w:sz="8" w:space="0" w:color="9D0441" w:themeColor="accent4"/>
        </w:tcBorders>
        <w:shd w:val="clear" w:color="auto" w:fill="FCAACB" w:themeFill="accent4" w:themeFillTint="3F"/>
      </w:tcPr>
    </w:tblStylePr>
    <w:tblStylePr w:type="band2Horz">
      <w:tblPr/>
      <w:tcPr>
        <w:tcBorders>
          <w:top w:val="single" w:sz="8" w:space="0" w:color="9D0441" w:themeColor="accent4"/>
          <w:left w:val="single" w:sz="8" w:space="0" w:color="9D0441" w:themeColor="accent4"/>
          <w:bottom w:val="single" w:sz="8" w:space="0" w:color="9D0441" w:themeColor="accent4"/>
          <w:right w:val="single" w:sz="8" w:space="0" w:color="9D0441" w:themeColor="accent4"/>
          <w:insideV w:val="single" w:sz="8" w:space="0" w:color="9D0441" w:themeColor="accent4"/>
        </w:tcBorders>
      </w:tcPr>
    </w:tblStylePr>
  </w:style>
  <w:style w:type="paragraph" w:customStyle="1" w:styleId="Default">
    <w:name w:val="Default"/>
    <w:rsid w:val="00E10E19"/>
    <w:pPr>
      <w:autoSpaceDE w:val="0"/>
      <w:autoSpaceDN w:val="0"/>
      <w:adjustRightInd w:val="0"/>
    </w:pPr>
    <w:rPr>
      <w:rFonts w:ascii="Times New Roman" w:hAnsi="Times New Roman" w:cs="Times New Roman"/>
      <w:color w:val="000000"/>
    </w:rPr>
  </w:style>
  <w:style w:type="character" w:styleId="Strong">
    <w:name w:val="Strong"/>
    <w:uiPriority w:val="22"/>
    <w:qFormat/>
    <w:rsid w:val="00685EA0"/>
    <w:rPr>
      <w:b/>
    </w:rPr>
  </w:style>
  <w:style w:type="character" w:styleId="Emphasis">
    <w:name w:val="Emphasis"/>
    <w:basedOn w:val="DefaultParagraphFont"/>
    <w:uiPriority w:val="20"/>
    <w:qFormat/>
    <w:rsid w:val="00685EA0"/>
    <w:rPr>
      <w:i w:val="0"/>
      <w:iCs/>
      <w:color w:val="F47720" w:themeColor="accent6"/>
    </w:rPr>
  </w:style>
  <w:style w:type="paragraph" w:styleId="TOCHeading">
    <w:name w:val="TOC Heading"/>
    <w:basedOn w:val="Heading1"/>
    <w:next w:val="Normal"/>
    <w:uiPriority w:val="39"/>
    <w:semiHidden/>
    <w:unhideWhenUsed/>
    <w:qFormat/>
    <w:rsid w:val="00685EA0"/>
    <w:pPr>
      <w:spacing w:after="0" w:line="280" w:lineRule="exact"/>
      <w:outlineLvl w:val="9"/>
    </w:pPr>
    <w:rPr>
      <w:color w:val="003E67" w:themeColor="accent1" w:themeShade="BF"/>
      <w:sz w:val="40"/>
      <w:szCs w:val="32"/>
    </w:rPr>
  </w:style>
  <w:style w:type="character" w:customStyle="1" w:styleId="Heading7Char">
    <w:name w:val="Heading 7 Char"/>
    <w:basedOn w:val="DefaultParagraphFont"/>
    <w:link w:val="Heading7"/>
    <w:uiPriority w:val="9"/>
    <w:semiHidden/>
    <w:rsid w:val="00685EA0"/>
    <w:rPr>
      <w:rFonts w:asciiTheme="majorHAnsi" w:eastAsiaTheme="majorEastAsia" w:hAnsiTheme="majorHAnsi" w:cstheme="majorBidi"/>
      <w:i/>
      <w:iCs/>
      <w:color w:val="002944" w:themeColor="accent1" w:themeShade="7F"/>
      <w:sz w:val="18"/>
    </w:rPr>
  </w:style>
  <w:style w:type="character" w:customStyle="1" w:styleId="Heading8Char">
    <w:name w:val="Heading 8 Char"/>
    <w:basedOn w:val="DefaultParagraphFont"/>
    <w:link w:val="Heading8"/>
    <w:uiPriority w:val="9"/>
    <w:semiHidden/>
    <w:rsid w:val="00685EA0"/>
    <w:rPr>
      <w:rFonts w:asciiTheme="majorHAnsi" w:eastAsiaTheme="majorEastAsia" w:hAnsiTheme="majorHAnsi" w:cstheme="majorBidi"/>
      <w:color w:val="446469" w:themeColor="text1" w:themeTint="D8"/>
      <w:sz w:val="21"/>
      <w:szCs w:val="21"/>
    </w:rPr>
  </w:style>
  <w:style w:type="character" w:customStyle="1" w:styleId="Heading9Char">
    <w:name w:val="Heading 9 Char"/>
    <w:basedOn w:val="DefaultParagraphFont"/>
    <w:link w:val="Heading9"/>
    <w:uiPriority w:val="9"/>
    <w:semiHidden/>
    <w:rsid w:val="00685EA0"/>
    <w:rPr>
      <w:rFonts w:asciiTheme="majorHAnsi" w:eastAsiaTheme="majorEastAsia" w:hAnsiTheme="majorHAnsi" w:cstheme="majorBidi"/>
      <w:i/>
      <w:iCs/>
      <w:color w:val="446469" w:themeColor="text1" w:themeTint="D8"/>
      <w:sz w:val="21"/>
      <w:szCs w:val="21"/>
    </w:rPr>
  </w:style>
  <w:style w:type="paragraph" w:styleId="Caption">
    <w:name w:val="caption"/>
    <w:basedOn w:val="Normal"/>
    <w:next w:val="Normal"/>
    <w:uiPriority w:val="35"/>
    <w:semiHidden/>
    <w:unhideWhenUsed/>
    <w:qFormat/>
    <w:rsid w:val="00685EA0"/>
    <w:pPr>
      <w:spacing w:before="0" w:after="200" w:line="240" w:lineRule="auto"/>
    </w:pPr>
    <w:rPr>
      <w:i/>
      <w:iCs/>
      <w:szCs w:val="18"/>
    </w:rPr>
  </w:style>
  <w:style w:type="paragraph" w:styleId="NoSpacing">
    <w:name w:val="No Spacing"/>
    <w:uiPriority w:val="1"/>
    <w:qFormat/>
    <w:rsid w:val="00685EA0"/>
    <w:pPr>
      <w:adjustRightInd w:val="0"/>
      <w:snapToGrid w:val="0"/>
    </w:pPr>
    <w:rPr>
      <w:rFonts w:ascii="Calibri" w:hAnsi="Calibri"/>
      <w:color w:val="454545" w:themeColor="text2"/>
      <w:sz w:val="18"/>
    </w:rPr>
  </w:style>
  <w:style w:type="paragraph" w:styleId="Quote">
    <w:name w:val="Quote"/>
    <w:basedOn w:val="Normal"/>
    <w:next w:val="Normal"/>
    <w:link w:val="QuoteChar"/>
    <w:uiPriority w:val="29"/>
    <w:qFormat/>
    <w:rsid w:val="00685EA0"/>
    <w:pPr>
      <w:spacing w:before="200" w:after="160"/>
      <w:ind w:left="864" w:right="864"/>
      <w:jc w:val="center"/>
    </w:pPr>
    <w:rPr>
      <w:i/>
      <w:iCs/>
      <w:color w:val="547B81" w:themeColor="text1" w:themeTint="BF"/>
    </w:rPr>
  </w:style>
  <w:style w:type="character" w:customStyle="1" w:styleId="QuoteChar">
    <w:name w:val="Quote Char"/>
    <w:basedOn w:val="DefaultParagraphFont"/>
    <w:link w:val="Quote"/>
    <w:uiPriority w:val="29"/>
    <w:rsid w:val="00685EA0"/>
    <w:rPr>
      <w:rFonts w:ascii="Calibri" w:hAnsi="Calibri"/>
      <w:i/>
      <w:iCs/>
      <w:color w:val="547B81" w:themeColor="text1" w:themeTint="BF"/>
      <w:sz w:val="18"/>
    </w:rPr>
  </w:style>
  <w:style w:type="paragraph" w:styleId="IntenseQuote">
    <w:name w:val="Intense Quote"/>
    <w:basedOn w:val="Normal"/>
    <w:next w:val="Normal"/>
    <w:link w:val="IntenseQuoteChar"/>
    <w:uiPriority w:val="30"/>
    <w:qFormat/>
    <w:rsid w:val="00685EA0"/>
    <w:pPr>
      <w:pBdr>
        <w:top w:val="single" w:sz="4" w:space="10" w:color="00548A" w:themeColor="accent1"/>
        <w:bottom w:val="single" w:sz="4" w:space="10" w:color="00548A" w:themeColor="accent1"/>
      </w:pBdr>
      <w:spacing w:before="360" w:after="360"/>
      <w:ind w:left="864" w:right="864"/>
      <w:jc w:val="center"/>
    </w:pPr>
    <w:rPr>
      <w:i/>
      <w:iCs/>
      <w:color w:val="00548A" w:themeColor="accent1"/>
    </w:rPr>
  </w:style>
  <w:style w:type="character" w:customStyle="1" w:styleId="IntenseQuoteChar">
    <w:name w:val="Intense Quote Char"/>
    <w:basedOn w:val="DefaultParagraphFont"/>
    <w:link w:val="IntenseQuote"/>
    <w:uiPriority w:val="30"/>
    <w:rsid w:val="00685EA0"/>
    <w:rPr>
      <w:rFonts w:ascii="Calibri" w:hAnsi="Calibri"/>
      <w:i/>
      <w:iCs/>
      <w:color w:val="00548A" w:themeColor="accent1"/>
      <w:sz w:val="18"/>
    </w:rPr>
  </w:style>
  <w:style w:type="character" w:styleId="SubtleEmphasis">
    <w:name w:val="Subtle Emphasis"/>
    <w:basedOn w:val="DefaultParagraphFont"/>
    <w:uiPriority w:val="19"/>
    <w:qFormat/>
    <w:rsid w:val="00685EA0"/>
    <w:rPr>
      <w:i/>
      <w:iCs/>
      <w:color w:val="547B81" w:themeColor="text1" w:themeTint="BF"/>
    </w:rPr>
  </w:style>
  <w:style w:type="character" w:styleId="IntenseEmphasis">
    <w:name w:val="Intense Emphasis"/>
    <w:basedOn w:val="DefaultParagraphFont"/>
    <w:uiPriority w:val="21"/>
    <w:qFormat/>
    <w:rsid w:val="00685EA0"/>
    <w:rPr>
      <w:i/>
      <w:iCs/>
      <w:color w:val="00548A" w:themeColor="accent1"/>
    </w:rPr>
  </w:style>
  <w:style w:type="character" w:styleId="SubtleReference">
    <w:name w:val="Subtle Reference"/>
    <w:basedOn w:val="DefaultParagraphFont"/>
    <w:uiPriority w:val="31"/>
    <w:qFormat/>
    <w:rsid w:val="00685EA0"/>
    <w:rPr>
      <w:smallCaps/>
      <w:color w:val="649299" w:themeColor="text1" w:themeTint="A5"/>
    </w:rPr>
  </w:style>
  <w:style w:type="character" w:styleId="IntenseReference">
    <w:name w:val="Intense Reference"/>
    <w:basedOn w:val="DefaultParagraphFont"/>
    <w:uiPriority w:val="32"/>
    <w:qFormat/>
    <w:rsid w:val="00685EA0"/>
    <w:rPr>
      <w:b/>
      <w:bCs/>
      <w:smallCaps/>
      <w:color w:val="00548A" w:themeColor="accent1"/>
      <w:spacing w:val="5"/>
    </w:rPr>
  </w:style>
  <w:style w:type="character" w:styleId="BookTitle">
    <w:name w:val="Book Title"/>
    <w:basedOn w:val="DefaultParagraphFont"/>
    <w:uiPriority w:val="33"/>
    <w:qFormat/>
    <w:rsid w:val="00685EA0"/>
    <w:rPr>
      <w:b/>
      <w:bCs/>
      <w:i/>
      <w:iCs/>
      <w:spacing w:val="5"/>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Calibri" w:hAnsi="Calibri"/>
      <w:color w:val="454545" w:themeColor="text2"/>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A11C2"/>
    <w:rPr>
      <w:rFonts w:ascii="Calibri" w:hAnsi="Calibri"/>
      <w:color w:val="454545"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o\The%20Ferguson%20Group\Strategic%20Development%20Team%20-%20Documents\General\TFG%20Brand%20Library\Archive%20Library\NEW%20TFG%20Templates%20-%20Moved%20to%20TFG%20Templates%20Site\40%20Years%20Templates\Special%20Report%2040%20Yrs%25" TargetMode="External"/></Relationships>
</file>

<file path=word/theme/theme1.xml><?xml version="1.0" encoding="utf-8"?>
<a:theme xmlns:a="http://schemas.openxmlformats.org/drawingml/2006/main" name="TFG">
  <a:themeElements>
    <a:clrScheme name="TFG">
      <a:dk1>
        <a:srgbClr val="2D4245"/>
      </a:dk1>
      <a:lt1>
        <a:srgbClr val="FFFFFF"/>
      </a:lt1>
      <a:dk2>
        <a:srgbClr val="454545"/>
      </a:dk2>
      <a:lt2>
        <a:srgbClr val="E0E0E0"/>
      </a:lt2>
      <a:accent1>
        <a:srgbClr val="00548A"/>
      </a:accent1>
      <a:accent2>
        <a:srgbClr val="00A2D9"/>
      </a:accent2>
      <a:accent3>
        <a:srgbClr val="5F6A21"/>
      </a:accent3>
      <a:accent4>
        <a:srgbClr val="9D0441"/>
      </a:accent4>
      <a:accent5>
        <a:srgbClr val="FEC453"/>
      </a:accent5>
      <a:accent6>
        <a:srgbClr val="F47720"/>
      </a:accent6>
      <a:hlink>
        <a:srgbClr val="00A1D9"/>
      </a:hlink>
      <a:folHlink>
        <a:srgbClr val="00548A"/>
      </a:folHlink>
    </a:clrScheme>
    <a:fontScheme name="TFG">
      <a:majorFont>
        <a:latin typeface="Calibri"/>
        <a:ea typeface=""/>
        <a:cs typeface=""/>
      </a:majorFont>
      <a:minorFont>
        <a:latin typeface="Bodoni MT"/>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4c93f-4ef3-422a-8c80-06016c46aab8" xsi:nil="true"/>
    <lcf76f155ced4ddcb4097134ff3c332f xmlns="3b8f6811-58c2-4009-b566-d34e1b8c906b">
      <Terms xmlns="http://schemas.microsoft.com/office/infopath/2007/PartnerControls"/>
    </lcf76f155ced4ddcb4097134ff3c332f>
    <SharedWithUsers xmlns="698af912-abcc-4bed-be65-a067c99d8fff">
      <UserInfo>
        <DisplayName/>
        <AccountId xsi:nil="true"/>
        <AccountType/>
      </UserInfo>
    </SharedWithUsers>
    <MediaLengthInSeconds xmlns="3b8f6811-58c2-4009-b566-d34e1b8c90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7F5A3A9B5C704996604912870125B2" ma:contentTypeVersion="17" ma:contentTypeDescription="Create a new document." ma:contentTypeScope="" ma:versionID="47ef229cce10539869f5db76fc0fb152">
  <xsd:schema xmlns:xsd="http://www.w3.org/2001/XMLSchema" xmlns:xs="http://www.w3.org/2001/XMLSchema" xmlns:p="http://schemas.microsoft.com/office/2006/metadata/properties" xmlns:ns2="3b8f6811-58c2-4009-b566-d34e1b8c906b" xmlns:ns3="698af912-abcc-4bed-be65-a067c99d8fff" xmlns:ns4="9264c93f-4ef3-422a-8c80-06016c46aab8" targetNamespace="http://schemas.microsoft.com/office/2006/metadata/properties" ma:root="true" ma:fieldsID="6b04aa7914fffd12400b2e896263fbf4" ns2:_="" ns3:_="" ns4:_="">
    <xsd:import namespace="3b8f6811-58c2-4009-b566-d34e1b8c906b"/>
    <xsd:import namespace="698af912-abcc-4bed-be65-a067c99d8fff"/>
    <xsd:import namespace="9264c93f-4ef3-422a-8c80-06016c46aa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6811-58c2-4009-b566-d34e1b8c9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f688b9-75c5-493f-b5ba-f58bf15cfb4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af912-abcc-4bed-be65-a067c99d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64c93f-4ef3-422a-8c80-06016c46aa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0b2e85-5766-4de5-a4d3-e14cdbb9b929}" ma:internalName="TaxCatchAll" ma:showField="CatchAllData" ma:web="698af912-abcc-4bed-be65-a067c99d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46630-0B47-40E5-A02F-4409F2FD71FF}">
  <ds:schemaRefs>
    <ds:schemaRef ds:uri="http://schemas.microsoft.com/office/2006/metadata/properties"/>
    <ds:schemaRef ds:uri="http://schemas.microsoft.com/office/infopath/2007/PartnerControls"/>
    <ds:schemaRef ds:uri="9264c93f-4ef3-422a-8c80-06016c46aab8"/>
    <ds:schemaRef ds:uri="3b8f6811-58c2-4009-b566-d34e1b8c906b"/>
    <ds:schemaRef ds:uri="698af912-abcc-4bed-be65-a067c99d8fff"/>
  </ds:schemaRefs>
</ds:datastoreItem>
</file>

<file path=customXml/itemProps2.xml><?xml version="1.0" encoding="utf-8"?>
<ds:datastoreItem xmlns:ds="http://schemas.openxmlformats.org/officeDocument/2006/customXml" ds:itemID="{15BF1E95-C661-4A75-B261-3D499A97FEE6}">
  <ds:schemaRefs>
    <ds:schemaRef ds:uri="http://schemas.openxmlformats.org/officeDocument/2006/bibliography"/>
  </ds:schemaRefs>
</ds:datastoreItem>
</file>

<file path=customXml/itemProps3.xml><?xml version="1.0" encoding="utf-8"?>
<ds:datastoreItem xmlns:ds="http://schemas.openxmlformats.org/officeDocument/2006/customXml" ds:itemID="{6C4C1F08-6312-4E37-ADCB-0D070644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f6811-58c2-4009-b566-d34e1b8c906b"/>
    <ds:schemaRef ds:uri="698af912-abcc-4bed-be65-a067c99d8fff"/>
    <ds:schemaRef ds:uri="9264c93f-4ef3-422a-8c80-06016c46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F8E14-82EF-4949-8927-CFCEF1C53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Special Report 40 Yrs%</Template>
  <TotalTime>50</TotalTime>
  <Pages>3</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Imo</dc:creator>
  <cp:keywords/>
  <dc:description/>
  <cp:lastModifiedBy>Jennifer Imo</cp:lastModifiedBy>
  <cp:revision>73</cp:revision>
  <cp:lastPrinted>2025-02-26T21:38:00Z</cp:lastPrinted>
  <dcterms:created xsi:type="dcterms:W3CDTF">2025-02-13T22:53:00Z</dcterms:created>
  <dcterms:modified xsi:type="dcterms:W3CDTF">2025-02-26T22:08:00Z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0x010100CA7F5A3A9B5C704996604912870125B2</vt:lpwstr>
  </property>
  <property fmtid="{D5CDD505-2E9C-101B-9397-08002B2CF9AE}" pid="3" name="Order">
    <vt:r8>45000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